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anbiof3asr070226.htm"/>
      <w:bookmarkStart w:id="1" w:name="ksanbiof3asr070226"/>
      <w:bookmarkEnd w:id="0"/>
      <w:bookmarkEnd w:id="1"/>
      <w:r>
        <w:rPr>
          <w:rFonts w:ascii="Times New Roman;Times;Serif" w:hAnsi="Times New Roman;Times;Serif"/>
          <w:b/>
          <w:i w:val="false"/>
          <w:caps w:val="false"/>
          <w:smallCaps w:val="false"/>
          <w:sz w:val="20"/>
        </w:rPr>
        <w:t>As filed with the Securities and Exchange Commission on July 9, 2026</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UNITED STATES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F-3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REGISTRATION STATEMENT</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Anbio Biotechnology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Friedrich-Ebert-Anlage 35-37, 60327</w:t>
        <w:br/>
        <w:t>Frankfurt am Main,</w:t>
        <w:br/>
        <w:t>Germany</w:t>
        <w:br/>
        <w:t>+49 69870039170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and telephone number of registrant’s principal executive offices) </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T Corporation System</w:t>
        <w:br/>
        <w:t>128 Liberty Street</w:t>
        <w:br/>
        <w:t>New York, NY 10005</w:t>
        <w:br/>
        <w:t>+1-212-894-8940</w:t>
        <w:br/>
        <w:t xml:space="preserve">(Name, address, and telephone number of agent for service) </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Copies to: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S. Rosenstadt, Esq.</w:t>
        <w:br/>
        <w:t>Mengyi “Jason” Ye, Esq.</w:t>
        <w:br/>
        <w:t>Yarona L. Yieh, Esq.</w:t>
        <w:br/>
        <w:t>Ortoli Rosenstadt LLP</w:t>
        <w:br/>
        <w:t>366 Madison Avenue, 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Floor</w:t>
        <w:br/>
        <w:t>New York, NY 10017</w:t>
        <w:br/>
        <w:t>T: 212-588-0022 </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time to time after the effective date of this registration statement.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jc w:val="left"/>
        <w:rPr>
          <w:caps w:val="false"/>
          <w:smallCaps w:val="false"/>
        </w:rPr>
      </w:pPr>
      <w:r>
        <w:rPr>
          <w:caps w:val="false"/>
          <w:smallCaps w:val="false"/>
        </w:rPr>
        <w:t> </w:t>
      </w:r>
    </w:p>
    <w:p>
      <w:pPr>
        <w:pStyle w:val="TextBody"/>
        <w:bidi w:val="0"/>
        <w:jc w:val="center"/>
        <w:rPr>
          <w:caps w:val="false"/>
          <w:smallCaps w:val="false"/>
          <w:color w:val="FF0000"/>
        </w:rPr>
      </w:pPr>
      <w:r>
        <w:rPr>
          <w:caps w:val="false"/>
          <w:smallCaps w:val="false"/>
          <w:color w:val="FF0000"/>
        </w:rPr>
        <w:drawing>
          <wp:inline distT="0" distB="0" distL="0" distR="0">
            <wp:extent cx="23622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666750"/>
                    </a:xfrm>
                    <a:prstGeom prst="rect">
                      <a:avLst/>
                    </a:prstGeom>
                  </pic:spPr>
                </pic:pic>
              </a:graphicData>
            </a:graphic>
          </wp:inline>
        </w:drawing>
      </w:r>
      <w:r>
        <w:rPr>
          <w:caps w:val="false"/>
          <w:smallCaps w:val="false"/>
          <w:color w:val="FF0000"/>
        </w:rPr>
        <w:t> </w:t>
      </w:r>
    </w:p>
    <w:p>
      <w:pPr>
        <w:pStyle w:val="TextBody"/>
        <w:bidi w:val="0"/>
        <w:jc w:val="center"/>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Anbio Biotechnology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Contracts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Units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one or more offerings, Class A ordinary shares, share purchase contracts, share purchase units, warrants, debt securities, rights or units, which we collectively refer to as the “securities”, at prices and on terms described in one or more supplements to this prospectus. In addition, this prospectus may be used to offer securities for the account of persons other than us. We or any selling shareholder may also offer Class A ordinary shares, share purchase contracts, share purchase units, warrants, debt securities, rights or units either individually or in combination with other securities, in one or more offerings.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or any selling shareholder sell securities, we will provide the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and any accompanying prospectus supplement before you purchase any of the securities offered hereby.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selling shareholder may sell the securities independently or together with any other securities registered hereunder to or through one or more underwriters, dealers and agents, or directly to purchasers, or through a combination of these methods, on a continuous or delayed basis.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“Plan of Distribution” beginning on page 44 of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applicable U.S. federal securities laws and are eligible for reduced public company reporting requirements. See “Implications of Being a Foreign Private Issuer” for additional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Global Market under the symbol “NNNN.” On July 8, 2025, the last reported sale price of the Class A Ordinary Shares on the Nasdaq Global Market was $11.49.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securities involves risks. You should carefully consider the risks incorporated by reference under the heading “Risk Factors” on page 8 of this prospectus, in any accompanying prospectus supplement or in the documents incorporated by reference into this prospectus or any accompanying prospectus supplement before making a decision to invest in our securities.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or sell any securities unless accompanied by a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 xml:space="preserve">TABLE OF CONTENTS </w:t>
      </w:r>
    </w:p>
    <w:p>
      <w:pPr>
        <w:pStyle w:val="TextBody"/>
        <w:bidi w:val="0"/>
        <w:jc w:val="left"/>
        <w:rPr>
          <w:caps w:val="false"/>
          <w:smallCaps w:val="false"/>
        </w:rPr>
      </w:pPr>
      <w:r>
        <w:rPr>
          <w:caps w:val="false"/>
          <w:smallCaps w:val="false"/>
        </w:rPr>
        <w:t> </w:t>
      </w:r>
    </w:p>
    <w:tbl>
      <w:tblPr>
        <w:tblW w:w="7764" w:type="dxa"/>
        <w:jc w:val="left"/>
        <w:tblInd w:w="0" w:type="dxa"/>
        <w:tblLayout w:type="fixed"/>
        <w:tblCellMar>
          <w:top w:w="0" w:type="dxa"/>
          <w:left w:w="0" w:type="dxa"/>
          <w:bottom w:w="0" w:type="dxa"/>
          <w:right w:w="0" w:type="dxa"/>
        </w:tblCellMar>
      </w:tblPr>
      <w:tblGrid>
        <w:gridCol w:w="7310"/>
        <w:gridCol w:w="81"/>
        <w:gridCol w:w="373"/>
      </w:tblGrid>
      <w:tr>
        <w:trPr/>
        <w:tc>
          <w:tcPr>
            <w:tcW w:w="7310" w:type="dxa"/>
            <w:tcBorders/>
            <w:vAlign w:val="center"/>
          </w:tcPr>
          <w:p>
            <w:pPr>
              <w:pStyle w:val="TableContents"/>
              <w:bidi w:val="0"/>
              <w:spacing w:before="0" w:after="283"/>
              <w:ind w:left="0" w:right="0" w:hanging="0"/>
              <w:jc w:val="left"/>
              <w:rPr/>
            </w:pPr>
            <w:r>
              <w:rPr/>
              <w:t> </w:t>
            </w:r>
          </w:p>
        </w:tc>
        <w:tc>
          <w:tcPr>
            <w:tcW w:w="454" w:type="dxa"/>
            <w:gridSpan w:val="2"/>
            <w:tcBorders>
              <w:bottom w:val="single" w:sz="8"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7310" w:type="dxa"/>
            <w:tcBorders/>
            <w:vAlign w:val="center"/>
          </w:tcPr>
          <w:p>
            <w:pPr>
              <w:pStyle w:val="TableContents"/>
              <w:bidi w:val="0"/>
              <w:spacing w:before="0" w:after="283"/>
              <w:ind w:left="0" w:right="0" w:hanging="0"/>
              <w:jc w:val="left"/>
              <w:rPr/>
            </w:pPr>
            <w:hyperlink w:anchor="a_001">
              <w:r>
                <w:rPr>
                  <w:rStyle w:val="InternetLink"/>
                  <w:rFonts w:ascii="Times New Roman;Times;Serif" w:hAnsi="Times New Roman;Times;Serif"/>
                  <w:sz w:val="20"/>
                </w:rPr>
                <w:t>ABOUT THIS PROSPECTUS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ii</w:t>
            </w:r>
          </w:p>
        </w:tc>
      </w:tr>
      <w:tr>
        <w:trPr/>
        <w:tc>
          <w:tcPr>
            <w:tcW w:w="7310" w:type="dxa"/>
            <w:tcBorders/>
            <w:vAlign w:val="center"/>
          </w:tcPr>
          <w:p>
            <w:pPr>
              <w:pStyle w:val="TableContents"/>
              <w:bidi w:val="0"/>
              <w:spacing w:before="0" w:after="283"/>
              <w:ind w:left="0" w:right="0" w:hanging="0"/>
              <w:jc w:val="left"/>
              <w:rPr/>
            </w:pPr>
            <w:hyperlink w:anchor="a_002">
              <w:r>
                <w:rPr>
                  <w:rStyle w:val="InternetLink"/>
                  <w:rFonts w:ascii="Times New Roman;Times;Serif" w:hAnsi="Times New Roman;Times;Serif"/>
                  <w:sz w:val="20"/>
                </w:rPr>
                <w:t>CAUTIONARY STATEMENT FORWARD-LOOKING STATEMENTS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iv</w:t>
            </w:r>
          </w:p>
        </w:tc>
      </w:tr>
      <w:tr>
        <w:trPr/>
        <w:tc>
          <w:tcPr>
            <w:tcW w:w="7310" w:type="dxa"/>
            <w:tcBorders/>
            <w:vAlign w:val="center"/>
          </w:tcPr>
          <w:p>
            <w:pPr>
              <w:pStyle w:val="TableContents"/>
              <w:bidi w:val="0"/>
              <w:spacing w:before="0" w:after="283"/>
              <w:ind w:left="0" w:right="0" w:hanging="0"/>
              <w:jc w:val="left"/>
              <w:rPr/>
            </w:pPr>
            <w:hyperlink w:anchor="a_003">
              <w:r>
                <w:rPr>
                  <w:rStyle w:val="InternetLink"/>
                  <w:rFonts w:ascii="Times New Roman;Times;Serif" w:hAnsi="Times New Roman;Times;Serif"/>
                  <w:sz w:val="20"/>
                </w:rPr>
                <w:t>PROSPECTUS SUMMARY</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1</w:t>
            </w:r>
          </w:p>
        </w:tc>
      </w:tr>
      <w:tr>
        <w:trPr/>
        <w:tc>
          <w:tcPr>
            <w:tcW w:w="7310" w:type="dxa"/>
            <w:tcBorders/>
            <w:vAlign w:val="center"/>
          </w:tcPr>
          <w:p>
            <w:pPr>
              <w:pStyle w:val="TableContents"/>
              <w:bidi w:val="0"/>
              <w:spacing w:before="0" w:after="283"/>
              <w:ind w:left="0" w:right="0" w:hanging="0"/>
              <w:jc w:val="left"/>
              <w:rPr/>
            </w:pPr>
            <w:hyperlink w:anchor="a_004">
              <w:r>
                <w:rPr>
                  <w:rStyle w:val="InternetLink"/>
                  <w:rFonts w:ascii="Times New Roman;Times;Serif" w:hAnsi="Times New Roman;Times;Serif"/>
                  <w:sz w:val="20"/>
                </w:rPr>
                <w:t>RISK FACTORS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8</w:t>
            </w:r>
          </w:p>
        </w:tc>
      </w:tr>
      <w:tr>
        <w:trPr/>
        <w:tc>
          <w:tcPr>
            <w:tcW w:w="7310" w:type="dxa"/>
            <w:tcBorders/>
            <w:vAlign w:val="center"/>
          </w:tcPr>
          <w:p>
            <w:pPr>
              <w:pStyle w:val="TableContents"/>
              <w:bidi w:val="0"/>
              <w:spacing w:before="0" w:after="283"/>
              <w:ind w:left="0" w:right="0" w:hanging="0"/>
              <w:jc w:val="left"/>
              <w:rPr/>
            </w:pPr>
            <w:hyperlink w:anchor="a_005">
              <w:r>
                <w:rPr>
                  <w:rStyle w:val="InternetLink"/>
                  <w:rFonts w:ascii="Times New Roman;Times;Serif" w:hAnsi="Times New Roman;Times;Serif"/>
                  <w:sz w:val="20"/>
                </w:rPr>
                <w:t>USE OF PROCEEDS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15</w:t>
            </w:r>
          </w:p>
        </w:tc>
      </w:tr>
      <w:tr>
        <w:trPr/>
        <w:tc>
          <w:tcPr>
            <w:tcW w:w="7310" w:type="dxa"/>
            <w:tcBorders/>
            <w:vAlign w:val="center"/>
          </w:tcPr>
          <w:p>
            <w:pPr>
              <w:pStyle w:val="TableContents"/>
              <w:bidi w:val="0"/>
              <w:spacing w:before="0" w:after="283"/>
              <w:ind w:left="0" w:right="0" w:hanging="0"/>
              <w:jc w:val="left"/>
              <w:rPr/>
            </w:pPr>
            <w:hyperlink w:anchor="a_006">
              <w:r>
                <w:rPr>
                  <w:rStyle w:val="InternetLink"/>
                  <w:rFonts w:ascii="Times New Roman;Times;Serif" w:hAnsi="Times New Roman;Times;Serif"/>
                  <w:sz w:val="20"/>
                </w:rPr>
                <w:t>DESCRIPTION OF SHARE CAPITAL AND ARTICLES OF ASSOCIATION</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16</w:t>
            </w:r>
          </w:p>
        </w:tc>
      </w:tr>
      <w:tr>
        <w:trPr/>
        <w:tc>
          <w:tcPr>
            <w:tcW w:w="7310" w:type="dxa"/>
            <w:tcBorders/>
            <w:vAlign w:val="center"/>
          </w:tcPr>
          <w:p>
            <w:pPr>
              <w:pStyle w:val="TableContents"/>
              <w:bidi w:val="0"/>
              <w:spacing w:before="0" w:after="283"/>
              <w:ind w:left="0" w:right="0" w:hanging="0"/>
              <w:jc w:val="left"/>
              <w:rPr/>
            </w:pPr>
            <w:hyperlink w:anchor="a_007">
              <w:r>
                <w:rPr>
                  <w:rStyle w:val="InternetLink"/>
                  <w:rFonts w:ascii="Times New Roman;Times;Serif" w:hAnsi="Times New Roman;Times;Serif"/>
                  <w:sz w:val="20"/>
                </w:rPr>
                <w:t>DESCRIPTION OF WARRANTS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27</w:t>
            </w:r>
          </w:p>
        </w:tc>
      </w:tr>
      <w:tr>
        <w:trPr/>
        <w:tc>
          <w:tcPr>
            <w:tcW w:w="7310" w:type="dxa"/>
            <w:tcBorders/>
            <w:vAlign w:val="center"/>
          </w:tcPr>
          <w:p>
            <w:pPr>
              <w:pStyle w:val="TableContents"/>
              <w:bidi w:val="0"/>
              <w:spacing w:before="0" w:after="283"/>
              <w:ind w:left="0" w:right="0" w:hanging="0"/>
              <w:jc w:val="left"/>
              <w:rPr/>
            </w:pPr>
            <w:hyperlink w:anchor="a_008">
              <w:r>
                <w:rPr>
                  <w:rStyle w:val="InternetLink"/>
                  <w:rFonts w:ascii="Times New Roman;Times;Serif" w:hAnsi="Times New Roman;Times;Serif"/>
                  <w:sz w:val="20"/>
                </w:rPr>
                <w:t>DESCRIPTION OF DEBT SECURITIES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29</w:t>
            </w:r>
          </w:p>
        </w:tc>
      </w:tr>
      <w:tr>
        <w:trPr/>
        <w:tc>
          <w:tcPr>
            <w:tcW w:w="7310" w:type="dxa"/>
            <w:tcBorders/>
            <w:vAlign w:val="center"/>
          </w:tcPr>
          <w:p>
            <w:pPr>
              <w:pStyle w:val="TableContents"/>
              <w:bidi w:val="0"/>
              <w:spacing w:before="0" w:after="283"/>
              <w:ind w:left="0" w:right="0" w:hanging="0"/>
              <w:jc w:val="left"/>
              <w:rPr/>
            </w:pPr>
            <w:hyperlink w:anchor="a_009">
              <w:r>
                <w:rPr>
                  <w:rStyle w:val="InternetLink"/>
                  <w:rFonts w:ascii="Times New Roman;Times;Serif" w:hAnsi="Times New Roman;Times;Serif"/>
                  <w:sz w:val="20"/>
                </w:rPr>
                <w:t xml:space="preserve">DESCRIPTION OF UNITS </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36</w:t>
            </w:r>
          </w:p>
        </w:tc>
      </w:tr>
      <w:tr>
        <w:trPr/>
        <w:tc>
          <w:tcPr>
            <w:tcW w:w="7310" w:type="dxa"/>
            <w:tcBorders/>
            <w:vAlign w:val="center"/>
          </w:tcPr>
          <w:p>
            <w:pPr>
              <w:pStyle w:val="TableContents"/>
              <w:bidi w:val="0"/>
              <w:spacing w:before="0" w:after="283"/>
              <w:ind w:left="0" w:right="0" w:hanging="0"/>
              <w:jc w:val="left"/>
              <w:rPr/>
            </w:pPr>
            <w:hyperlink w:anchor="a_010">
              <w:r>
                <w:rPr>
                  <w:rStyle w:val="InternetLink"/>
                  <w:rFonts w:ascii="Times New Roman;Times;Serif" w:hAnsi="Times New Roman;Times;Serif"/>
                  <w:sz w:val="20"/>
                </w:rPr>
                <w:t xml:space="preserve">DESCRIPTION OF SHARE PURCHASE CONTRACTS AND SHARE PURCHASE UNITS </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36</w:t>
            </w:r>
          </w:p>
        </w:tc>
      </w:tr>
      <w:tr>
        <w:trPr/>
        <w:tc>
          <w:tcPr>
            <w:tcW w:w="7310" w:type="dxa"/>
            <w:tcBorders/>
            <w:vAlign w:val="center"/>
          </w:tcPr>
          <w:p>
            <w:pPr>
              <w:pStyle w:val="TableContents"/>
              <w:bidi w:val="0"/>
              <w:spacing w:before="0" w:after="283"/>
              <w:ind w:left="0" w:right="0" w:hanging="0"/>
              <w:jc w:val="left"/>
              <w:rPr/>
            </w:pPr>
            <w:hyperlink w:anchor="a_011">
              <w:r>
                <w:rPr>
                  <w:rStyle w:val="InternetLink"/>
                  <w:rFonts w:ascii="Times New Roman;Times;Serif" w:hAnsi="Times New Roman;Times;Serif"/>
                  <w:sz w:val="20"/>
                </w:rPr>
                <w:t xml:space="preserve">DESCRIPTION OF RIGHTS </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37</w:t>
            </w:r>
          </w:p>
        </w:tc>
      </w:tr>
      <w:tr>
        <w:trPr/>
        <w:tc>
          <w:tcPr>
            <w:tcW w:w="7310" w:type="dxa"/>
            <w:tcBorders/>
            <w:vAlign w:val="center"/>
          </w:tcPr>
          <w:p>
            <w:pPr>
              <w:pStyle w:val="TableContents"/>
              <w:bidi w:val="0"/>
              <w:spacing w:before="0" w:after="283"/>
              <w:ind w:left="0" w:right="0" w:hanging="0"/>
              <w:jc w:val="left"/>
              <w:rPr/>
            </w:pPr>
            <w:hyperlink w:anchor="a_012">
              <w:r>
                <w:rPr>
                  <w:rStyle w:val="InternetLink"/>
                  <w:rFonts w:ascii="Times New Roman;Times;Serif" w:hAnsi="Times New Roman;Times;Serif"/>
                  <w:sz w:val="20"/>
                </w:rPr>
                <w:t>ENFORCEABILITY OF CIVIL LIABILITIES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38</w:t>
            </w:r>
          </w:p>
        </w:tc>
      </w:tr>
      <w:tr>
        <w:trPr/>
        <w:tc>
          <w:tcPr>
            <w:tcW w:w="7310" w:type="dxa"/>
            <w:tcBorders/>
            <w:vAlign w:val="center"/>
          </w:tcPr>
          <w:p>
            <w:pPr>
              <w:pStyle w:val="TableContents"/>
              <w:bidi w:val="0"/>
              <w:spacing w:before="0" w:after="283"/>
              <w:ind w:left="0" w:right="0" w:hanging="0"/>
              <w:jc w:val="left"/>
              <w:rPr/>
            </w:pPr>
            <w:hyperlink w:anchor="a_013">
              <w:r>
                <w:rPr>
                  <w:rStyle w:val="InternetLink"/>
                  <w:rFonts w:ascii="Times New Roman;Times;Serif" w:hAnsi="Times New Roman;Times;Serif"/>
                  <w:sz w:val="20"/>
                </w:rPr>
                <w:t>TAXATION</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39</w:t>
            </w:r>
          </w:p>
        </w:tc>
      </w:tr>
      <w:tr>
        <w:trPr/>
        <w:tc>
          <w:tcPr>
            <w:tcW w:w="7310" w:type="dxa"/>
            <w:tcBorders/>
            <w:vAlign w:val="center"/>
          </w:tcPr>
          <w:p>
            <w:pPr>
              <w:pStyle w:val="TableContents"/>
              <w:bidi w:val="0"/>
              <w:spacing w:before="0" w:after="283"/>
              <w:ind w:left="0" w:right="0" w:hanging="0"/>
              <w:jc w:val="left"/>
              <w:rPr/>
            </w:pPr>
            <w:hyperlink w:anchor="a_014">
              <w:r>
                <w:rPr>
                  <w:rStyle w:val="InternetLink"/>
                  <w:rFonts w:ascii="Times New Roman;Times;Serif" w:hAnsi="Times New Roman;Times;Serif"/>
                  <w:sz w:val="20"/>
                </w:rPr>
                <w:t>SELLING SHAREHOLDERS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43</w:t>
            </w:r>
          </w:p>
        </w:tc>
      </w:tr>
      <w:tr>
        <w:trPr/>
        <w:tc>
          <w:tcPr>
            <w:tcW w:w="7310" w:type="dxa"/>
            <w:tcBorders/>
            <w:vAlign w:val="center"/>
          </w:tcPr>
          <w:p>
            <w:pPr>
              <w:pStyle w:val="TableContents"/>
              <w:bidi w:val="0"/>
              <w:spacing w:before="0" w:after="283"/>
              <w:ind w:left="0" w:right="0" w:hanging="0"/>
              <w:jc w:val="left"/>
              <w:rPr/>
            </w:pPr>
            <w:hyperlink w:anchor="a_015">
              <w:r>
                <w:rPr>
                  <w:rStyle w:val="InternetLink"/>
                  <w:rFonts w:ascii="Times New Roman;Times;Serif" w:hAnsi="Times New Roman;Times;Serif"/>
                  <w:sz w:val="20"/>
                </w:rPr>
                <w:t>PLAN OF DISTRIBUTION</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44</w:t>
            </w:r>
          </w:p>
        </w:tc>
      </w:tr>
      <w:tr>
        <w:trPr/>
        <w:tc>
          <w:tcPr>
            <w:tcW w:w="7310" w:type="dxa"/>
            <w:tcBorders/>
            <w:vAlign w:val="center"/>
          </w:tcPr>
          <w:p>
            <w:pPr>
              <w:pStyle w:val="TableContents"/>
              <w:bidi w:val="0"/>
              <w:spacing w:before="0" w:after="283"/>
              <w:ind w:left="0" w:right="0" w:hanging="0"/>
              <w:jc w:val="left"/>
              <w:rPr/>
            </w:pPr>
            <w:hyperlink w:anchor="a_016">
              <w:r>
                <w:rPr>
                  <w:rStyle w:val="InternetLink"/>
                  <w:rFonts w:ascii="Times New Roman;Times;Serif" w:hAnsi="Times New Roman;Times;Serif"/>
                  <w:sz w:val="20"/>
                </w:rPr>
                <w:t>LEGAL MATTERS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46</w:t>
            </w:r>
          </w:p>
        </w:tc>
      </w:tr>
      <w:tr>
        <w:trPr/>
        <w:tc>
          <w:tcPr>
            <w:tcW w:w="7310" w:type="dxa"/>
            <w:tcBorders/>
            <w:vAlign w:val="center"/>
          </w:tcPr>
          <w:p>
            <w:pPr>
              <w:pStyle w:val="TableContents"/>
              <w:bidi w:val="0"/>
              <w:spacing w:before="0" w:after="283"/>
              <w:ind w:left="0" w:right="0" w:hanging="0"/>
              <w:jc w:val="left"/>
              <w:rPr/>
            </w:pPr>
            <w:hyperlink w:anchor="a_017">
              <w:r>
                <w:rPr>
                  <w:rStyle w:val="InternetLink"/>
                  <w:rFonts w:ascii="Times New Roman;Times;Serif" w:hAnsi="Times New Roman;Times;Serif"/>
                  <w:sz w:val="20"/>
                </w:rPr>
                <w:t>EXPERTS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46</w:t>
            </w:r>
          </w:p>
        </w:tc>
      </w:tr>
      <w:tr>
        <w:trPr/>
        <w:tc>
          <w:tcPr>
            <w:tcW w:w="7310" w:type="dxa"/>
            <w:tcBorders/>
            <w:vAlign w:val="center"/>
          </w:tcPr>
          <w:p>
            <w:pPr>
              <w:pStyle w:val="TableContents"/>
              <w:bidi w:val="0"/>
              <w:spacing w:before="0" w:after="283"/>
              <w:ind w:left="0" w:right="0" w:hanging="0"/>
              <w:jc w:val="left"/>
              <w:rPr/>
            </w:pPr>
            <w:hyperlink w:anchor="a_018">
              <w:r>
                <w:rPr>
                  <w:rStyle w:val="InternetLink"/>
                  <w:rFonts w:ascii="Times New Roman;Times;Serif" w:hAnsi="Times New Roman;Times;Serif"/>
                  <w:sz w:val="20"/>
                </w:rPr>
                <w:t>WHERE YOU CAN FIND MORE INFORMATION ABOUT US</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ind w:left="0" w:right="0" w:hanging="180"/>
              <w:jc w:val="center"/>
              <w:rPr/>
            </w:pPr>
            <w:r>
              <w:rPr/>
              <w:t>47</w:t>
            </w:r>
          </w:p>
        </w:tc>
      </w:tr>
      <w:tr>
        <w:trPr/>
        <w:tc>
          <w:tcPr>
            <w:tcW w:w="7310" w:type="dxa"/>
            <w:tcBorders/>
            <w:vAlign w:val="center"/>
          </w:tcPr>
          <w:p>
            <w:pPr>
              <w:pStyle w:val="TableContents"/>
              <w:bidi w:val="0"/>
              <w:spacing w:before="0" w:after="283"/>
              <w:ind w:left="0" w:right="0" w:hanging="0"/>
              <w:jc w:val="left"/>
              <w:rPr/>
            </w:pPr>
            <w:hyperlink w:anchor="a_019">
              <w:r>
                <w:rPr>
                  <w:rStyle w:val="InternetLink"/>
                  <w:rFonts w:ascii="Times New Roman;Times;Serif" w:hAnsi="Times New Roman;Times;Serif"/>
                  <w:sz w:val="20"/>
                </w:rPr>
                <w:t>INCORPORATION OF DOCUMENTS BY REFERENCE</w:t>
              </w:r>
            </w:hyperlink>
          </w:p>
        </w:tc>
        <w:tc>
          <w:tcPr>
            <w:tcW w:w="81"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center"/>
              <w:rPr/>
            </w:pPr>
            <w:r>
              <w:rPr/>
              <w:t>48</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 xml:space="preserve">ABOUT THIS PROSPECTUS </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an “automatic shelf” registration statement on Form F-3 that we filed with the Securities and Exchange Commission, or SEC, as a “well-known seasoned issuer” as defined in Rule 405 under the Securities Act of 1933, as amended, or the Securities Act, utilizing a “shelf” registration process. Under this shelf registration process, we or selling shareholders may offer Class A ordinary shares, share purchase contracts, share purchase units, warrants, debt securities, rights or units either individually or in combination with other securities, in one or more offerings. There is no limit on the aggregate amount of the securities that we or selling shareholders may offer pursuant to the registration statement of which this prospectus is a part. This prospectus provides you with a general description of the securities we or selling shareholders may offer.</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or selling shareholders offer to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Documents by Reference,” before investing in any of the securities offered.</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in this prospectus to the terms “Anbio” “the Company,” “we,” “us” and “our” refer to Anbio Biotechnology and its subsidiaries.</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selling shareholder, has authorized anyone to give any information or to make any representation other than those contained or incorporated by reference in this prospectus, any applicable prospectus supplement and any related free writing prospectus. You must not rely upon any information or representation not contained or incorporated by reference in this prospectus (as supplemented or amended), any applicable prospectus supplement or any related free writing prospectus as having been authorized by us. We and the selling shareholders are offering to sell, and seeking offers to buy, the securities only in jurisdictions where it is lawful to do so. This prospectus does not constitute an offer to sell or the solicitation of an offer to buy any securities other than the registered securities to which it relates, nor does this prospectus constitute an offer to sell or the solicitation of an offer to buy securities in any jurisdiction to any person to whom it is unlawful to make such offer or solicitation in such jurisdiction.</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(as supplemented or amended),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(as supplemented or amended) is delivered, or securities are sold, on a later date. 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under the laws of the Cayman Islands and a majority of our outstanding securities are owned by non-U.S. residents. 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have been prepared in accordance with the accounting principles generally accepted in the United States.</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investors outside the United States: We have not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CONVENTIONS THAT APPLY TO THIS PROSPECTUS </w:t>
      </w:r>
    </w:p>
    <w:p>
      <w:pPr>
        <w:pStyle w:val="TextBody"/>
        <w:bidi w:val="0"/>
        <w:ind w:left="0" w:right="0" w:firstLine="49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 “Anbio” refers to Anbio Biotechnology, an exempted company incorporated under the laws of the Cayman Islands;</w:t>
      </w:r>
    </w:p>
    <w:p>
      <w:pPr>
        <w:pStyle w:val="TextBody"/>
        <w:bidi w:val="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17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pPr>
            <w:r>
              <w:rPr/>
              <w:t>“</w:t>
            </w:r>
            <w:r>
              <w:rPr>
                <w:rFonts w:ascii="Times New Roman;Times;Serif" w:hAnsi="Times New Roman;Times;Serif"/>
                <w:sz w:val="20"/>
              </w:rPr>
              <w:t>Anbio Australia” refers to Anbio Biotechnology Pty Ltd, a company incorporated under the laws of Australia;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Anbio Samoa” refers to Anbio Biotechnology Limited, a company incorporated under the laws of the Independent State of Samoa;</w:t>
            </w:r>
          </w:p>
        </w:tc>
      </w:tr>
    </w:tbl>
    <w:p>
      <w:pPr>
        <w:pStyle w:val="TextBody"/>
        <w:bidi w:val="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pPr>
            <w:r>
              <w:rPr/>
              <w:t>“</w:t>
            </w:r>
            <w:r>
              <w:rPr>
                <w:rFonts w:ascii="Times New Roman;Times;Serif" w:hAnsi="Times New Roman;Times;Serif"/>
                <w:sz w:val="20"/>
              </w:rPr>
              <w:t>Anbio HK” refers to Anbio Biotechnology Limited, a company incorporated under the laws of Hong Kong SAR;</w:t>
            </w:r>
          </w:p>
        </w:tc>
      </w:tr>
    </w:tbl>
    <w:p>
      <w:pPr>
        <w:pStyle w:val="TextBody"/>
        <w:bidi w:val="0"/>
        <w:jc w:val="left"/>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pPr>
            <w:r>
              <w:rPr/>
              <w:t>“</w:t>
            </w:r>
            <w:r>
              <w:rPr>
                <w:rFonts w:ascii="Times New Roman;Times;Serif" w:hAnsi="Times New Roman;Times;Serif"/>
                <w:sz w:val="20"/>
              </w:rPr>
              <w:t>AnTherapeutics BVI” refers to AnTherapeutics Inc., a company incorporated under the laws of the British Virgin Islands;</w:t>
            </w:r>
          </w:p>
        </w:tc>
      </w:tr>
    </w:tbl>
    <w:p>
      <w:pPr>
        <w:pStyle w:val="TextBody"/>
        <w:bidi w:val="0"/>
        <w:spacing w:before="0" w:after="283"/>
        <w:jc w:val="left"/>
        <w:rPr/>
      </w:pPr>
      <w:r>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pPr>
            <w:r>
              <w:rPr/>
              <w:t>“</w:t>
            </w:r>
            <w:r>
              <w:rPr>
                <w:rFonts w:ascii="Times New Roman;Times;Serif" w:hAnsi="Times New Roman;Times;Serif"/>
                <w:sz w:val="20"/>
              </w:rPr>
              <w:t>AnTherapeutics USA” refers to AnTherapeutics INC, a company incorporated under the laws of the Delaware;</w:t>
            </w:r>
          </w:p>
        </w:tc>
      </w:tr>
    </w:tbl>
    <w:p>
      <w:pPr>
        <w:pStyle w:val="TextBody"/>
        <w:bidi w:val="0"/>
        <w:spacing w:before="0" w:after="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pPr>
            <w:r>
              <w:rPr/>
              <w:t>“</w:t>
            </w:r>
            <w:r>
              <w:rPr>
                <w:rFonts w:ascii="Times New Roman;Times;Serif" w:hAnsi="Times New Roman;Times;Serif"/>
                <w:sz w:val="20"/>
              </w:rPr>
              <w:t>PharVac USA” refers to PharVac Inc, a company incorporated under the laws of Delaware;</w:t>
            </w:r>
          </w:p>
        </w:tc>
      </w:tr>
    </w:tbl>
    <w:p>
      <w:pPr>
        <w:pStyle w:val="TextBody"/>
        <w:bidi w:val="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17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pPr>
            <w:r>
              <w:rPr/>
              <w:t>“</w:t>
            </w:r>
            <w:r>
              <w:rPr>
                <w:rFonts w:ascii="Times New Roman;Times;Serif" w:hAnsi="Times New Roman;Times;Serif"/>
                <w:sz w:val="20"/>
              </w:rPr>
              <w:t>PharVac BVI” refers to PharVac Limited, a company incorporated under the laws of the British Virgin Islands;</w:t>
            </w:r>
          </w:p>
        </w:tc>
      </w:tr>
    </w:tbl>
    <w:p>
      <w:pPr>
        <w:pStyle w:val="TextBody"/>
        <w:bidi w:val="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w:t>
            </w:r>
            <w:r>
              <w:rPr>
                <w:rFonts w:ascii="Times New Roman;Times;Serif" w:hAnsi="Times New Roman;Times;Serif"/>
                <w:sz w:val="20"/>
              </w:rPr>
              <w:t>LoviWell USA” refers to LoviWell Inc, a company incorporated under the laws of Delaware;</w:t>
            </w:r>
          </w:p>
        </w:tc>
      </w:tr>
    </w:tbl>
    <w:p>
      <w:pPr>
        <w:pStyle w:val="TextBody"/>
        <w:bidi w:val="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17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pPr>
            <w:r>
              <w:rPr/>
              <w:t>“</w:t>
            </w:r>
            <w:r>
              <w:rPr>
                <w:rFonts w:ascii="Times New Roman;Times;Serif" w:hAnsi="Times New Roman;Times;Serif"/>
                <w:sz w:val="20"/>
              </w:rPr>
              <w:t>LoviWell BVI” refers to LoviWell Inc, a company incorporated under the laws of the British Virgin Islands;</w:t>
            </w:r>
          </w:p>
        </w:tc>
      </w:tr>
    </w:tbl>
    <w:p>
      <w:pPr>
        <w:pStyle w:val="TextBody"/>
        <w:bidi w:val="0"/>
        <w:jc w:val="left"/>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pPr>
            <w:r>
              <w:rPr/>
              <w:t>“</w:t>
            </w:r>
            <w:r>
              <w:rPr>
                <w:rFonts w:ascii="Times New Roman;Times;Serif" w:hAnsi="Times New Roman;Times;Serif"/>
                <w:sz w:val="20"/>
              </w:rPr>
              <w:t>AnBiAo Xiamen” refers to AnBiAo Biotechnology (Xiamen) Limited, a company incorporated under the laws of PRC;</w:t>
            </w:r>
          </w:p>
        </w:tc>
      </w:tr>
    </w:tbl>
    <w:p>
      <w:pPr>
        <w:pStyle w:val="TextBody"/>
        <w:bidi w:val="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pPr>
            <w:r>
              <w:rPr/>
              <w:t>“</w:t>
            </w:r>
            <w:r>
              <w:rPr>
                <w:rFonts w:ascii="Times New Roman;Times;Serif" w:hAnsi="Times New Roman;Times;Serif"/>
                <w:sz w:val="20"/>
              </w:rPr>
              <w:t>Beijing AnBiAo” refers to Beijing AnBiAo Biotechnology Limited, a company incorporated under the laws of PRC;</w:t>
            </w:r>
          </w:p>
        </w:tc>
      </w:tr>
    </w:tbl>
    <w:p>
      <w:pPr>
        <w:pStyle w:val="TextBody"/>
        <w:bidi w:val="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pPr>
            <w:r>
              <w:rPr/>
              <w:t>“</w:t>
            </w:r>
            <w:r>
              <w:rPr>
                <w:rFonts w:ascii="Times New Roman;Times;Serif" w:hAnsi="Times New Roman;Times;Serif"/>
                <w:sz w:val="20"/>
              </w:rPr>
              <w:t>AnBai” refers to AnBai (Beijing) Biomedical Technology Limited, a company incorporated under the laws of PRC;</w:t>
            </w:r>
          </w:p>
        </w:tc>
      </w:tr>
    </w:tbl>
    <w:p>
      <w:pPr>
        <w:pStyle w:val="TextBody"/>
        <w:bidi w:val="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283"/>
              <w:jc w:val="both"/>
              <w:rPr/>
            </w:pPr>
            <w:r>
              <w:rPr/>
              <w:t>“</w:t>
            </w:r>
            <w:r>
              <w:rPr>
                <w:rFonts w:ascii="Times New Roman;Times;Serif" w:hAnsi="Times New Roman;Times;Serif"/>
                <w:sz w:val="20"/>
              </w:rPr>
              <w:t>IVD” refers to in vitro diagnostic;</w:t>
            </w:r>
          </w:p>
        </w:tc>
      </w:tr>
    </w:tbl>
    <w:p>
      <w:pPr>
        <w:pStyle w:val="TextBody"/>
        <w:bidi w:val="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w:t>
            </w:r>
            <w:r>
              <w:rPr>
                <w:rFonts w:ascii="Times New Roman;Times;Serif" w:hAnsi="Times New Roman;Times;Serif"/>
                <w:sz w:val="20"/>
              </w:rPr>
              <w:t>IVDD refers to In-Vitro Diagnostic Medical Devices Directive (98/79/EC);</w:t>
            </w:r>
          </w:p>
        </w:tc>
      </w:tr>
    </w:tbl>
    <w:p>
      <w:pPr>
        <w:pStyle w:val="TextBody"/>
        <w:bidi w:val="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pPr>
            <w:r>
              <w:rPr/>
              <w:t>“</w:t>
            </w:r>
            <w:r>
              <w:rPr>
                <w:rFonts w:ascii="Times New Roman;Times;Serif" w:hAnsi="Times New Roman;Times;Serif"/>
                <w:sz w:val="20"/>
              </w:rPr>
              <w:t>IVDR” refers to In Vitro Diagnostic Medical Devices Regulation (No 2017/746);</w:t>
            </w:r>
          </w:p>
        </w:tc>
      </w:tr>
    </w:tbl>
    <w:p>
      <w:pPr>
        <w:pStyle w:val="TextBody"/>
        <w:bidi w:val="0"/>
        <w:jc w:val="lef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1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pPr>
            <w:r>
              <w:rPr/>
              <w:t>“</w:t>
            </w:r>
            <w:r>
              <w:rPr>
                <w:rFonts w:ascii="Times New Roman;Times;Serif" w:hAnsi="Times New Roman;Times;Serif"/>
                <w:sz w:val="20"/>
              </w:rPr>
              <w:t>Operating Subsidiary” refers to Anbio Biotechnology Limited or Anbio Samoa;</w:t>
            </w:r>
          </w:p>
        </w:tc>
      </w:tr>
    </w:tbl>
    <w:p>
      <w:pPr>
        <w:pStyle w:val="TextBody"/>
        <w:bidi w:val="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t>“</w:t>
            </w:r>
            <w:r>
              <w:rPr>
                <w:rFonts w:ascii="Times New Roman;Times;Serif" w:hAnsi="Times New Roman;Times;Serif"/>
                <w:sz w:val="20"/>
              </w:rPr>
              <w:t>SEC” refers to the United States Securities and Exchange Commission; and</w:t>
            </w:r>
          </w:p>
        </w:tc>
      </w:tr>
    </w:tbl>
    <w:p>
      <w:pPr>
        <w:pStyle w:val="TextBody"/>
        <w:bidi w:val="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pPr>
            <w:r>
              <w:rPr/>
              <w:t>“</w:t>
            </w:r>
            <w:r>
              <w:rPr>
                <w:rFonts w:ascii="Times New Roman;Times;Serif" w:hAnsi="Times New Roman;Times;Serif"/>
                <w:sz w:val="20"/>
              </w:rPr>
              <w:t>US$” or “U.S. dollars” refers to the legal currency of the United States.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any prospectus supplement to “the accompanying prospectus” are to this prospectus and references to “the prospectus” are to this prospectus and the applicable prospectus supplement taken together.</w:t>
      </w:r>
    </w:p>
    <w:p>
      <w:pPr>
        <w:pStyle w:val="TextBody"/>
        <w:bidi w:val="0"/>
        <w:ind w:left="0" w:right="0" w:firstLine="49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making an offer to sell the securities in any jurisdiction where the offer or sale is not permitted.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 xml:space="preserve">CAUTIONARY STATEMENT FORWARD-LOOKING STATEMENTS </w:t>
      </w:r>
    </w:p>
    <w:p>
      <w:pPr>
        <w:pStyle w:val="TextBody"/>
        <w:bidi w:val="0"/>
        <w:ind w:left="0" w:right="0" w:firstLine="49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the documents incorporated by reference and any free writing prospectus prepared by or on behalf of us or to which we have referred you contain “forward-looking statements” within the meaning of Section 27A of the Securities Act of 1933, as amended, or the Securities Act, and Section 21E of the Exchange Act. These statements are based on our management’s current beliefs, expectations and assumptions about future events, conditions and results and on information currently available to us.</w:t>
      </w:r>
    </w:p>
    <w:p>
      <w:pPr>
        <w:pStyle w:val="TextBody"/>
        <w:bidi w:val="0"/>
        <w:ind w:left="0" w:right="0" w:firstLine="49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“anticipate,” “believe,” “could,” “estimate,” “expects,” “intend,” “may,” “plan,” “potential,” “predict,” “project,” “should,” “will,” “would” or the negative or plural of those terms, and similar expressions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pStyle w:val="TextBody"/>
        <w:bidi w:val="0"/>
        <w:ind w:left="0" w:right="0" w:firstLine="49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in this prospectus, the documents incorporated by reference or any free writing prospectus prepared by or on behalf of us or to which we have referred you about our expectations, beliefs, plans, objectives, assumptions or future events or performance are not historical facts and are forward-looking statements. Forward-looking statements may include, without limitation, statements regarding:</w:t>
      </w:r>
    </w:p>
    <w:p>
      <w:pPr>
        <w:pStyle w:val="TextBody"/>
        <w:bidi w:val="0"/>
        <w:jc w:val="left"/>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effectively develop, market and sell in vitro diagnostics (IVD) products;</w:t>
            </w:r>
          </w:p>
        </w:tc>
      </w:tr>
    </w:tbl>
    <w:p>
      <w:pPr>
        <w:pStyle w:val="TextBody"/>
        <w:bidi w:val="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opportunity for and potential for commercial success of IVD products;</w:t>
            </w:r>
          </w:p>
        </w:tc>
      </w:tr>
    </w:tbl>
    <w:p>
      <w:pPr>
        <w:pStyle w:val="TextBody"/>
        <w:bidi w:val="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clinical trials to demonstrate acceptable safety and efficacy of our products, and other positive results;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progress and results of preclinical studies and clinical trials for products we may develop, including statements regarding the timing of initiation and completion of studies or trials and related preparatory work, the period during which the results of the trials will become available, and our research and development programs;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scope and likelihood of regulatory filings and approvals, including final regulatory approval of our IVD products;</w:t>
            </w:r>
          </w:p>
        </w:tc>
      </w:tr>
    </w:tbl>
    <w:p>
      <w:pPr>
        <w:pStyle w:val="TextBody"/>
        <w:bidi w:val="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advance our current IVD products into, and successfully complete, clinical trials;</w:t>
            </w:r>
          </w:p>
        </w:tc>
      </w:tr>
    </w:tbl>
    <w:p>
      <w:pPr>
        <w:pStyle w:val="TextBody"/>
        <w:bidi w:val="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commercialization, and marketing capabilities and strategy;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relating to commercializing our IVD products, if approved, including the geographic areas of focus and sales strategy;</w:t>
            </w:r>
          </w:p>
        </w:tc>
      </w:tr>
    </w:tbl>
    <w:p>
      <w:pPr>
        <w:pStyle w:val="TextBody"/>
        <w:bidi w:val="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need to hire additional personnel and our ability to attract, retain and motivate such personnel;</w:t>
            </w:r>
          </w:p>
        </w:tc>
      </w:tr>
    </w:tbl>
    <w:p>
      <w:pPr>
        <w:pStyle w:val="TextBody"/>
        <w:bidi w:val="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the market opportunity for our IVD products;</w:t>
            </w:r>
          </w:p>
        </w:tc>
      </w:tr>
    </w:tbl>
    <w:p>
      <w:pPr>
        <w:pStyle w:val="TextBody"/>
        <w:bidi w:val="0"/>
        <w:jc w:val="left"/>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competitive position and the success of competing products that are or may become available;</w:t>
            </w:r>
          </w:p>
        </w:tc>
      </w:tr>
    </w:tbl>
    <w:p>
      <w:pPr>
        <w:pStyle w:val="TextBody"/>
        <w:bidi w:val="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5705"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the beneficial characteristics, safety, and efficacy of our IVD products;</w:t>
            </w:r>
          </w:p>
        </w:tc>
      </w:tr>
    </w:tbl>
    <w:p>
      <w:pPr>
        <w:pStyle w:val="TextBody"/>
        <w:bidi w:val="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regulatory approval of our IVD products;</w:t>
            </w:r>
          </w:p>
        </w:tc>
      </w:tr>
    </w:tbl>
    <w:p>
      <w:pPr>
        <w:pStyle w:val="TextBody"/>
        <w:bidi w:val="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17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relating to the further development of our IVD products;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intellectual property position, including the scope of protection we are able to establish and maintain for intellectual property rights covering IVD products we may develop, including the validity of intellectual property rights held by third parties, and our ability not to infringe, misappropriate or otherwise violate any third-party intellectual property rights;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continued reliance on third parties to conduct additional clinical trials of our IVD products, and for the manufacture of our IVD products for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negotiate favorable terms of, any collaboration, licensing or other arrangements that may be necessary or desirable to develop, manufacture or commercialize our IVD products;</w:t>
            </w:r>
          </w:p>
        </w:tc>
      </w:tr>
    </w:tbl>
    <w:p>
      <w:pPr>
        <w:pStyle w:val="TextBody"/>
        <w:bidi w:val="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pricing and reimbursement of the IVD products we may develop, if approved;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about the prices and availability of labor, transportation and raw materials, including as a result of inflation, and our ability to obtain them in a timely manner;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exposure to and the potential impact of risks inherent in our foreign operations, including currency fluctuations, exchange controls and pricing restrictions;</w:t>
            </w:r>
          </w:p>
        </w:tc>
      </w:tr>
    </w:tbl>
    <w:p>
      <w:pPr>
        <w:pStyle w:val="TextBody"/>
        <w:bidi w:val="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and degree of market acceptance and clinical utility of our IVD products we may develop;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effectiveness of our key information technology systems, networks, processes or related controls or those of our service providers;</w:t>
            </w:r>
          </w:p>
        </w:tc>
      </w:tr>
    </w:tbl>
    <w:p>
      <w:pPr>
        <w:pStyle w:val="TextBody"/>
        <w:bidi w:val="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regarding expenses, future revenue, capital requirements and needs for additional financing;</w:t>
            </w:r>
          </w:p>
        </w:tc>
      </w:tr>
    </w:tbl>
    <w:p>
      <w:pPr>
        <w:pStyle w:val="TextBody"/>
        <w:bidi w:val="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performance;</w:t>
            </w:r>
          </w:p>
        </w:tc>
      </w:tr>
    </w:tbl>
    <w:p>
      <w:pPr>
        <w:pStyle w:val="TextBody"/>
        <w:bidi w:val="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consistently maintain effective internal control over financial reporting;</w:t>
            </w:r>
          </w:p>
        </w:tc>
      </w:tr>
    </w:tbl>
    <w:p>
      <w:pPr>
        <w:pStyle w:val="TextBody"/>
        <w:bidi w:val="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tax laws and the resolution of tax contingencies resulting in additional tax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 over which we estimate our existing cash and cash equivalents will be sufficient to fund our future operating expenses and capital expenditure requirements;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United States or foreign laws and regulations on the Company’s operations, including the impact of tariffs;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epidemics and pandemics, rising inflation rates, geopolitical tensions, the failure and instability of financial institutions, or other world events’ disruptions on our business, including, without limitation, our ability to manage the demand, supply and operational challenges associated with the actual or perceived effects of such disruptions.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Drug therapy clinical development carries inherent uncertainty, and results from preclinical or animal studies are frequently not predictive of safety or efficacy in humans.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no approved drug therapy products and no drug therapy product revenue, and there is no assurance any candidate will advance through development.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Concentration risk: where the drug therapy pipeline rests on a limited number of candidates, a single clinical, safety, or regulatory setback can be material to the entire enterprise.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approval for drug therapy is lengthy, costly, and uncertain, and may require larger, longer, or additional trials than currently anticipated.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drug therapy competitive landscape is intense and includes larger, better-resourced incumbents, and the addressable opportunity may be affected by competing products and evolving standards of care.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Intellectual property protection for developed drug therapy may be challenged, invalidated, or circumvented by competitors, and the scope or durability of protection may prove narrower than expected.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Manufacturing and supply depend on third parties, and quality, capacity, or scale-up constraints could delay drug therapy development.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Drug therapy safety findings, side effects, or manufacturing problems may emerge after a product reaches the market, including issues that implicate an entire class of products.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operating history in drug therapy development, with no internal track record of completing late-stage trials, regulatory filings, or commercial-scale manufacturing.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Financing dependence: the company relies on raising additional capital to fund drug therapy development, which may be unavailable on acceptable terms or at all, and substantial doubt about continuing as a going concern may apply.</w:t>
            </w:r>
          </w:p>
        </w:tc>
      </w:tr>
    </w:tbl>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reflect our current views with respect to future events, are based on assumptions and are subject to risks and uncertainties. Given these risks and uncertainties, you should not place undue reliance on these forward-looking statements. We discuss many of these risks, uncertainties and other factors in greater detail under the heading “Risk Factors” in this prospectus, the applicable prospectus supplement, any related free writing prospectus, and under similar headings in our Annual Report on Form 20-F for the fiscal year ended December 31, 2025, or the 2025 Annual Report, as updated by our subsequent filings, which are incorporated by reference into this prospectus. As a result of these factors, we cannot assure you that the forward-looking statements contained in this prospectus, the documents incorporated by reference or any free writing prospectus prepared by or on behalf of us or to which we have referred you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(as supplemented or amended), the documents incorporated by reference or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5" w:name="a_003"/>
      <w:bookmarkEnd w:id="5"/>
      <w:r>
        <w:rPr>
          <w:rFonts w:ascii="Times New Roman;Times;Serif" w:hAnsi="Times New Roman;Times;Serif"/>
          <w:b/>
          <w:i w:val="false"/>
          <w:caps w:val="false"/>
          <w:smallCaps w:val="false"/>
          <w:sz w:val="20"/>
          <w:bdr w:val="single" w:sz="8" w:space="5" w:color="000000"/>
        </w:rPr>
        <w:t xml:space="preserve">PROSPECTUS SUMMARY </w:t>
      </w:r>
    </w:p>
    <w:p>
      <w:pPr>
        <w:pStyle w:val="TextBody"/>
        <w:bidi w:val="0"/>
        <w:jc w:val="center"/>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Business Overview</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Anbio Biotechnology is dedicated to the advancement of drug therapeutics, medical technology and the provision of in vitro diagnostics (IVD) products. Our unwavering commitment lies in transforming the medical landscape on a global scale, fostering a paradigm shift towards personalized and decentralized diagnostic solutions. In the diagnostic front, we aim to significantly enhance patient prognosis and contribute to the betterment of healthcare worldwide. At Anbio Biotechnology, our extensive portfolio comprises an array of IVD products designed to cater to diverse diagnostic needs. Our comprehensive range of products encompasses solutions for various applications, including over-the-counter (OTC) utilization, point-of-care (POCT) settings, and laboratory applications. By offering such a versatile range of products, we ensure that healthcare providers and patients alike can access reliable and efficient diagnostic tools regardless of the healthcare setting. For more information about our IVD products, see “- Our product - Anbio’s IVD Solutions” below.</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IVD products are designed to detect a wide range of biomarkers associated with critical medical domains. These domains encompass infectious diseases, cancer, cardiovascular diseases, inflammation, drug abuse, endocrine disorders, renal disease, pharmacogenomics, and diabetes. By providing advanced diagnostic capabilities in these areas, we empower healthcare professionals to identify and monitor various conditions, facilitating timely intervention and patient care. Moreover, our IVD products are compatible with multiple sample collection matrices, including serum, plasma, whole blood, feces, urine, and saliva, for both healthcare providers and patients. This flexibility allows for efficient and reliable diagnostic testing across diverse patient populations and healthcare settings.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Anbio collaborates with third-party laboratories to develop in vitro diagnostic (IVD) products tailored for laboratory, point-of-care testing (POCT), and over-the-counter (OTC) markets. The IVD assays we develop utilize established and widely used IVD technology platforms and their scientific principles Anbio contributes experimental designs, result interpretations, and scientific expertise to guide third-party laboratories in the laboratory work involved in the assay development process. All intellectual property arising from these collaborations will be owned by Anbio. We develop our IVD products with third-party laboratories, and supply these IVD products. Below are the primary research and development activities for all our IVD products:</w:t>
      </w:r>
    </w:p>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Biomarker Discovery and Validation</w:t>
            </w:r>
          </w:p>
        </w:tc>
      </w:tr>
    </w:tbl>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Assay Development</w:t>
            </w:r>
          </w:p>
        </w:tc>
      </w:tr>
    </w:tbl>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Validation - Clinical and Analytical</w:t>
            </w:r>
          </w:p>
        </w:tc>
      </w:tr>
    </w:tbl>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Platform Transfer</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outsource our research and development to third-party laboratories. We have entered into service agreements with certain third party. Such agreements typically have services scope, compensation, confidentiality, ownership of intellectual property, and may be terminated by either party with advance notice. We are selective in choosing third-party companies, assessing their qualifications using various criteria, including but not limited to, research and development capabilities, pricing, and quality of products. Our dedicated personnel regularly inspect our third party’s research and development practices and progress. To assist with the research and development process, we provide some of our proprietary know-how to certain third party. To protect our proprietary know-how and intellectual property rights and potential inventions developments, our service agreements will also include confidentiality clause and ownership of intellectual property clause with the third party on the technologies developed by them through collaborating with us. We will own all intellectual property developed or produced under the service agreements. We compensate such third party at a specific rate based on the project and expenses incurred during the services will not be reimbursed by us. Once our IVD products are optimized, we engage third-party suppliers to manufacture IVD products and retain all revenue and profits from the sales of our IVD products.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Currently, all of our supplied IVD products are ready for commercialization and do not require additional development. Prior to the sale of our IVD products in the European Union, we must register with the relevant authority for the regulatory approvals in the European Union. We also work with local distributors to determine the regulatory obligations and appropriate strategies for market entry. Currently, our local distribution partners in strategically selected regions cover the primary countries and regions in the EU, APAC, Americas, and Africa listed below:</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u w:val="single"/>
          <w:bdr w:val="single" w:sz="8" w:space="5" w:color="000000"/>
        </w:rPr>
        <w:t>European Union (EU):</w:t>
      </w:r>
      <w:r>
        <w:rPr>
          <w:rFonts w:ascii="Times New Roman;Times;Serif" w:hAnsi="Times New Roman;Times;Serif"/>
          <w:b w:val="false"/>
          <w:i w:val="false"/>
          <w:caps w:val="false"/>
          <w:smallCaps w:val="false"/>
          <w:sz w:val="20"/>
          <w:bdr w:val="single" w:sz="8" w:space="5" w:color="000000"/>
        </w:rPr>
        <w:t xml:space="preserve"> Germany, France, Italy, Austria, Portugal, Netherlands, Poland, Slovakia, Czech Republic, Switzerland, Belgium, Romania, Bulgaria, Albania, and Cyprus.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u w:val="single"/>
          <w:bdr w:val="single" w:sz="8" w:space="5" w:color="000000"/>
        </w:rPr>
        <w:t>Asia Pacific (APAC):</w:t>
      </w:r>
      <w:r>
        <w:rPr>
          <w:rFonts w:ascii="Times New Roman;Times;Serif" w:hAnsi="Times New Roman;Times;Serif"/>
          <w:b w:val="false"/>
          <w:i w:val="false"/>
          <w:caps w:val="false"/>
          <w:smallCaps w:val="false"/>
          <w:sz w:val="20"/>
          <w:bdr w:val="single" w:sz="8" w:space="5" w:color="000000"/>
        </w:rPr>
        <w:t xml:space="preserve"> Indonesia, India, Philippines, Malaysia, Thailand, Vietnam, Bangladesh, Pakistan, Saudi Arabia, United Arab Emirates, Bahrain, Kuwait, Nepal, Maldives, and Mongolia.</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u w:val="single"/>
          <w:bdr w:val="single" w:sz="8" w:space="5" w:color="000000"/>
        </w:rPr>
        <w:t>Americas:</w:t>
      </w:r>
      <w:r>
        <w:rPr>
          <w:rFonts w:ascii="Times New Roman;Times;Serif" w:hAnsi="Times New Roman;Times;Serif"/>
          <w:b w:val="false"/>
          <w:i w:val="false"/>
          <w:caps w:val="false"/>
          <w:smallCaps w:val="false"/>
          <w:sz w:val="20"/>
          <w:bdr w:val="single" w:sz="8" w:space="5" w:color="000000"/>
        </w:rPr>
        <w:t xml:space="preserve"> Brazil, Chile, Peru, Bolivia, Guatemala, United States, Ecuador, Argentina, El Salvador, Guyana, Paraguay, Panama, Trinidad and Tobago, and Dominican Republic.</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u w:val="single"/>
          <w:bdr w:val="single" w:sz="8" w:space="5" w:color="000000"/>
        </w:rPr>
        <w:t>Africa</w:t>
      </w:r>
      <w:r>
        <w:rPr>
          <w:rFonts w:ascii="Times New Roman;Times;Serif" w:hAnsi="Times New Roman;Times;Serif"/>
          <w:b w:val="false"/>
          <w:i w:val="false"/>
          <w:caps w:val="false"/>
          <w:smallCaps w:val="false"/>
          <w:sz w:val="20"/>
          <w:bdr w:val="single" w:sz="8" w:space="5" w:color="000000"/>
        </w:rPr>
        <w:t>: Nigeria, Ethiopia, Kenya, Uganda, Tanzania, Egypt, Ghana, Zambia, Malawi, Mali, Mozambique, Namibia, Burkina Faso, Cameroon, South Africa, Central African Republic, Republic of the Congo, Senegal, and Togo.</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Currently, all of the IVD products are CE marked under the In Vitro Diagnostic Directive (IVDD) 98/79/EC and can be commercialized in the EU. Additionally, we are currently preparing the documentation for the IVDR registration of our IVD products, and we anticipate IVDR approval by the following dates for different device classes:</w:t>
      </w:r>
    </w:p>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 individual risk and high public health risk products (Class D): 31 December 2027;</w:t>
            </w:r>
          </w:p>
        </w:tc>
      </w:tr>
    </w:tbl>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 individual risk and/or moderate public health risk products (Class C): 31 December 2028;</w:t>
            </w:r>
          </w:p>
        </w:tc>
      </w:tr>
    </w:tbl>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moderate individual risk and/or low public health risk (Class B): 31 December 2029;</w:t>
            </w:r>
          </w:p>
        </w:tc>
      </w:tr>
    </w:tbl>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 individual risk and low public health risk products placed on the market in a sterile condition (Class A sterile): 31 December 2029.</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While we do not anticipate any changes to the aforementioned deadlines or any setbacks in obtaining regulatory approvals, we cannot guarantee the success of all our registration efforts. Failure to secure registration for our IVD products in these countries could adversely impact our revenue performance. For the EU, since all of our products are CE marked under IVDD, failure to secure IVDR compliance by the specified deadlines will affect our sales performance in the EU region thereafter.</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the fiscal years ended December 31, 2025, 2024 and 2023, we generated revenue of $8.65 million, $8.19 million and $6.71 million, of which 20%, 54% and 60% was from respiratory diseases and COVID-19 related products, respectively.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Since 2023, we have commenced sales of our non-COVID products in countries within the European Union (EU), Americas, APAC, and Africa. Since the IVDR provides a transitional provision, the IVDR approval process would not currently impact the sales of our non-COVID products. To ensure compliance with the evolving IVDR requirements set by regulatory authorities, we must stay vigilant to prevent potential issues that could impact our business in EU. See “Item 4. Information on the Company - B. Business - Regulation - European Conformity Marking and Certifications” for more information about current state of development and commercialization of our IVD products. For the fiscal years ended December 31, 2025, 2024 and 2023, 60%, 69% and 69% of our revenue was generated in the European Union and we have significant customer concentration, respectively.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Additionally, Anbio Biotechnology is expanding its focus beyond its core diagnostics business to include the development of novel drug therapeutics. As part of this strategic initiative, the company is investing in both research and development capabilities and external collaborations to build a robust pipeline of therapeutic drug candidates.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drug development programs emphasize on diseases with high unmet medical need and significant commercial potential. The company's scientific team is leveraging its expertise in disease biology, molecular engineering, and biomarker discovery to design highly targeted therapies with differentiated mechanisms of action. To support these efforts, Anbio has established strategic partnerships with academic institutions and contract research organizations to accelerate its drug development timelines and manage costs effectively.</w:t>
      </w:r>
    </w:p>
    <w:p>
      <w:pPr>
        <w:pStyle w:val="TextBody"/>
        <w:bidi w:val="0"/>
        <w:ind w:left="0" w:right="0" w:firstLine="36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While these programs are still in the early stages of development, Anbio believes that its targeted approach to drug discovery, combined with its diagnostic biomarker capabilities, has the potential to deliver a pipeline of therapeutics that can drive value for patients and shareholders in the years ahead. The company looks forward to providing further updates on its drug development progress as key milestones are achieved.</w:t>
      </w:r>
    </w:p>
    <w:p>
      <w:pPr>
        <w:pStyle w:val="TextBody"/>
        <w:bidi w:val="0"/>
        <w:ind w:left="0" w:right="0" w:firstLine="36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firstLine="36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Our Products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u w:val="single"/>
          <w:bdr w:val="single" w:sz="8" w:space="5" w:color="000000"/>
        </w:rPr>
      </w:pPr>
      <w:r>
        <w:rPr>
          <w:rFonts w:ascii="Times New Roman;Times;Serif" w:hAnsi="Times New Roman;Times;Serif"/>
          <w:b/>
          <w:i w:val="false"/>
          <w:caps w:val="false"/>
          <w:smallCaps w:val="false"/>
          <w:sz w:val="20"/>
          <w:u w:val="single"/>
          <w:bdr w:val="single" w:sz="8" w:space="5" w:color="000000"/>
        </w:rPr>
        <w:t>Overview</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of the date of this prospectus, we have completed performance testing of our IVD products and plan to prepare the technical documentation to comply with the registration requirements of the regulatory authorities in the jurisdictions in which we intend to supply our IVD products, including but not limited to the European Union, Indonesia, India, Philippines, Malaysia, Thailand, Vietnam, Pakistan, Saudi Arabia, United Arab Emirates, Bahrain, Kuwait, United States, Brazil, Peru, Bolivia, Guatemala, Ecuador, Argentina, El Salvador, Guyana, Paraguay, Panama, Trinidad and Tobago, Dominican Republic, Nigeria, Ethiopia, Kenya, Uganda, Tanzania, Egypt, Ghana, Zambia, Namibia, South Africa, and Senegal. For more information about clinical trials of some key products we supply, please see “Clinical Results</w:t>
      </w:r>
      <w:r>
        <w:rPr>
          <w:rFonts w:ascii="Times New Roman;Times;Serif" w:hAnsi="Times New Roman;Times;Serif"/>
          <w:b w:val="false"/>
          <w:i/>
          <w:caps w:val="false"/>
          <w:smallCaps w:val="false"/>
          <w:sz w:val="20"/>
          <w:bdr w:val="single" w:sz="8" w:space="5" w:color="000000"/>
        </w:rPr>
        <w:t>.</w:t>
      </w:r>
      <w:r>
        <w:rPr>
          <w:rFonts w:ascii="Times New Roman;Times;Serif" w:hAnsi="Times New Roman;Times;Serif"/>
          <w:b w:val="false"/>
          <w:i w:val="false"/>
          <w:caps w:val="false"/>
          <w:smallCaps w:val="false"/>
          <w:sz w:val="20"/>
          <w:bdr w:val="single" w:sz="8" w:space="5" w:color="000000"/>
        </w:rPr>
        <w:t>” Prior to the sale of our IVD products globally, we may have to apply individually to each country or region for regulatory approvals. For more details, see “Regulation - European Conformity Marking and Certifications.”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u w:val="single"/>
          <w:bdr w:val="single" w:sz="8" w:space="5" w:color="000000"/>
        </w:rPr>
      </w:pPr>
      <w:r>
        <w:rPr>
          <w:rFonts w:ascii="Times New Roman;Times;Serif" w:hAnsi="Times New Roman;Times;Serif"/>
          <w:b/>
          <w:i w:val="false"/>
          <w:caps w:val="false"/>
          <w:smallCaps w:val="false"/>
          <w:sz w:val="20"/>
          <w:u w:val="single"/>
          <w:bdr w:val="single" w:sz="8" w:space="5" w:color="000000"/>
        </w:rPr>
        <w:t>Key Products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Anbio develops IVD assays that utilizes established and widely used IVD technology platforms and their scientific principles. Our product lineup primarily features lateral flow immunoassays. We use third-party suppliers to manufacture our assays. For instance, our rapid antigen tests for respiratory diseases, including COVID-19 related products, accounted for approximately 20%, 54%, and 60% of our total revenues in 2025, 2024, and 2023, respectively.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u w:val="single"/>
          <w:bdr w:val="single" w:sz="8" w:space="5" w:color="000000"/>
        </w:rPr>
      </w:pPr>
      <w:r>
        <w:rPr>
          <w:rFonts w:ascii="Times New Roman;Times;Serif" w:hAnsi="Times New Roman;Times;Serif"/>
          <w:b/>
          <w:i w:val="false"/>
          <w:caps w:val="false"/>
          <w:smallCaps w:val="false"/>
          <w:sz w:val="20"/>
          <w:u w:val="single"/>
          <w:bdr w:val="single" w:sz="8" w:space="5" w:color="000000"/>
        </w:rPr>
        <w:t>Anbio’s IVD Solutions</w:t>
      </w:r>
    </w:p>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28" w:type="dxa"/>
          <w:right w:w="0" w:type="dxa"/>
        </w:tblCellMar>
      </w:tblPr>
      <w:tblGrid>
        <w:gridCol w:w="1407"/>
        <w:gridCol w:w="60"/>
        <w:gridCol w:w="8738"/>
      </w:tblGrid>
      <w:tr>
        <w:trPr/>
        <w:tc>
          <w:tcPr>
            <w:tcW w:w="140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Point of Care and OTC Solutions</w:t>
            </w:r>
          </w:p>
        </w:tc>
        <w:tc>
          <w:tcPr>
            <w:tcW w:w="60" w:type="dxa"/>
            <w:tcBorders/>
            <w:tcMar>
              <w:bottom w:w="0" w:type="dxa"/>
            </w:tcMar>
            <w:vAlign w:val="center"/>
          </w:tcPr>
          <w:p>
            <w:pPr>
              <w:pStyle w:val="TableContents"/>
              <w:bidi w:val="0"/>
              <w:spacing w:before="0" w:after="283"/>
              <w:jc w:val="left"/>
              <w:rPr/>
            </w:pPr>
            <w:r>
              <w:rPr/>
              <w:t> </w:t>
            </w:r>
          </w:p>
        </w:tc>
        <w:tc>
          <w:tcPr>
            <w:tcW w:w="873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Solution</w:t>
            </w:r>
          </w:p>
        </w:tc>
      </w:tr>
      <w:tr>
        <w:trPr/>
        <w:tc>
          <w:tcPr>
            <w:tcW w:w="140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Lateral Flow </w:t>
              <w:br/>
              <w:t>Immunoassay</w:t>
              <w:br/>
              <w:t xml:space="preserve">(Colloidal Gold) </w:t>
              <w:br/>
              <w:t>Solution</w:t>
            </w:r>
          </w:p>
        </w:tc>
        <w:tc>
          <w:tcPr>
            <w:tcW w:w="60" w:type="dxa"/>
            <w:tcBorders/>
            <w:tcMar>
              <w:bottom w:w="0" w:type="dxa"/>
            </w:tcMar>
            <w:vAlign w:val="center"/>
          </w:tcPr>
          <w:p>
            <w:pPr>
              <w:pStyle w:val="TableContents"/>
              <w:bidi w:val="0"/>
              <w:spacing w:before="0" w:after="283"/>
              <w:jc w:val="left"/>
              <w:rPr/>
            </w:pPr>
            <w:r>
              <w:rPr/>
              <w:t> </w:t>
            </w:r>
          </w:p>
        </w:tc>
        <w:tc>
          <w:tcPr>
            <w:tcW w:w="873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LFIA (Colloidal Gold) employs the immunochromatography principle, providing a solution for visually detecting specific biomarker(s) in samples. With a wide array of assays available, our LFIA (Colloidal Gold) facilitates the visual detection of analytes associated with various abnormalities, such as cardiovascular conditions, cancer, infectious diseases, drug abuse, and hormonal imbalances. Notably, our LFIA (Colloidal Gold) is capable of delivering precise test results within 15 - 20 minutes, all without requiring expensive instrumentation.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96"/>
        <w:gridCol w:w="60"/>
        <w:gridCol w:w="8849"/>
      </w:tblGrid>
      <w:tr>
        <w:trPr/>
        <w:tc>
          <w:tcPr>
            <w:tcW w:w="129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AF-100S Fluorescence </w:t>
              <w:br/>
              <w:t xml:space="preserve">Immunoassay (FIA) </w:t>
              <w:br/>
              <w:t>Solution</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AF-100S FIA solution has a handheld point-of-care FIA analyzer that utilizes an LED light source from the reader for excitation of fluorescent microsphere which labelled with specific antibodies or antigens for immunochromatographic qualitative or quantitative testing of analytes in whole blood and urine samples, including hormones detection, myocardial disease detection, infectious disease detection, and tumor-related antigens detection.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409"/>
        <w:gridCol w:w="60"/>
        <w:gridCol w:w="8736"/>
      </w:tblGrid>
      <w:tr>
        <w:trPr/>
        <w:tc>
          <w:tcPr>
            <w:tcW w:w="140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Loop-Mediated</w:t>
              <w:br/>
              <w:t>Isothermal Amplification</w:t>
              <w:br/>
              <w:t>(LAMP) Solution</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LAMP solution, or Loop-Mediated Isothermal Amplification, is a molecular diagnostic technique used to amplify and detect specific DNA or RNA sequences. The LAMP assay is used for various applications, including the detection of infectious diseases, genetic disorders, and foodborne pathogens. Our LAMP solution can generate test results within 20 minutes.</w:t>
            </w:r>
          </w:p>
        </w:tc>
      </w:tr>
      <w:tr>
        <w:trPr/>
        <w:tc>
          <w:tcPr>
            <w:tcW w:w="14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pPr>
            <w:r>
              <w:rPr/>
              <w:t> </w:t>
            </w:r>
          </w:p>
        </w:tc>
      </w:tr>
      <w:tr>
        <w:trPr/>
        <w:tc>
          <w:tcPr>
            <w:tcW w:w="140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 Dry Chemistry</w:t>
              <w:br/>
              <w:t>Solution</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SHA Dry Chemistry Analyzer is a compact, point-of-care clinical chemistry analyzer that uses dry chemistry and reflection photometry to measure multiple biochemical parameters from small blood specimens (whole blood, serum, or plasma). It features both single and three-channel design that allows simultaneous testing of multiple analytes, an 8-inch color touchscreen with intuitive interface, a built-in thermal printer, and memory capacity for storing thousands of results. Results are delivered typically within around 40–300 seconds using reagent strips that have a long shelf life at room temperature, making the system suited for testing in clinical settings such as hospitals, clinics, or emergency departments.</w:t>
            </w:r>
          </w:p>
        </w:tc>
      </w:tr>
    </w:tbl>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28" w:type="dxa"/>
          <w:right w:w="0" w:type="dxa"/>
        </w:tblCellMar>
      </w:tblPr>
      <w:tblGrid>
        <w:gridCol w:w="1715"/>
        <w:gridCol w:w="60"/>
        <w:gridCol w:w="8430"/>
      </w:tblGrid>
      <w:tr>
        <w:trPr/>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Laboratory Solutions</w:t>
            </w:r>
          </w:p>
        </w:tc>
        <w:tc>
          <w:tcPr>
            <w:tcW w:w="60" w:type="dxa"/>
            <w:tcBorders/>
            <w:tcMar>
              <w:bottom w:w="0" w:type="dxa"/>
            </w:tcMar>
            <w:vAlign w:val="center"/>
          </w:tcPr>
          <w:p>
            <w:pPr>
              <w:pStyle w:val="TableContents"/>
              <w:bidi w:val="0"/>
              <w:spacing w:before="0" w:after="283"/>
              <w:jc w:val="left"/>
              <w:rPr/>
            </w:pPr>
            <w:r>
              <w:rPr/>
              <w:t> </w:t>
            </w:r>
          </w:p>
        </w:tc>
        <w:tc>
          <w:tcPr>
            <w:tcW w:w="84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Solution</w:t>
            </w:r>
          </w:p>
        </w:tc>
      </w:tr>
      <w:tr>
        <w:trPr/>
        <w:tc>
          <w:tcPr>
            <w:tcW w:w="17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ADL-i1910 </w:t>
              <w:br/>
              <w:t>Chemiluminescence</w:t>
              <w:br/>
              <w:t>Immunoassay (ChLIA)</w:t>
              <w:br/>
              <w:t>Solution</w:t>
            </w:r>
          </w:p>
        </w:tc>
        <w:tc>
          <w:tcPr>
            <w:tcW w:w="60" w:type="dxa"/>
            <w:tcBorders/>
            <w:tcMar>
              <w:bottom w:w="0" w:type="dxa"/>
            </w:tcMar>
            <w:vAlign w:val="center"/>
          </w:tcPr>
          <w:p>
            <w:pPr>
              <w:pStyle w:val="TableContents"/>
              <w:bidi w:val="0"/>
              <w:spacing w:before="0" w:after="283"/>
              <w:jc w:val="left"/>
              <w:rPr/>
            </w:pPr>
            <w:r>
              <w:rPr/>
              <w:t> </w:t>
            </w:r>
          </w:p>
        </w:tc>
        <w:tc>
          <w:tcPr>
            <w:tcW w:w="84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ADL i1910 is a fully Automated and compact ChLIA analyzer that adopts direct Chemiluminescence method based on acridinium ester and works clinically with supporting reagents for qualitative or quantitative testing of analytes in human serum, plasma, whole blood and urine samples, including hormones detection, myocardial disease detection, infectious disease detection, and tumor-related antigens detection. Our ADL i1910 can generate test results of different testing items within 5 - 30 minutes.</w:t>
            </w:r>
          </w:p>
        </w:tc>
      </w:tr>
    </w:tbl>
    <w:p>
      <w:pPr>
        <w:pStyle w:val="TextBody"/>
        <w:bidi w:val="0"/>
        <w:jc w:val="center"/>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185"/>
        <w:gridCol w:w="60"/>
        <w:gridCol w:w="8960"/>
      </w:tblGrid>
      <w:tr>
        <w:trPr/>
        <w:tc>
          <w:tcPr>
            <w:tcW w:w="11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Real-Time Polymerase Chain </w:t>
              <w:br/>
              <w:t xml:space="preserve">Reaction (RT-PCR) </w:t>
              <w:br/>
              <w:t>Solution</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simplify the challenges faced in pharmacogenomics with our real-time PCR (RT-PCR) solutions approach that caters to the needs of both new and experienced users in quantitative reverse transcriptase PCR (qRT-PCR) and pharmacogenomics. Our portfolio of pharmacogenomics assays supports HCP’s analysis of genetic variations that affect drug metabolism, efficacy, and toxicity to determine personalized treatment options. Our reagent kits are compatible with most RT-PCR readers and can support user customization and optimization for even the most demanding assays. RT-PCR can generate test results the same day.</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of the date of this prospectus, we believe all of Anbio’s in vitro diagnostic (IVD) solutions are suitable for commercialization and have been CE marked under the In Vitro Diagnostic Directive (IVDD) 98/79/EC. Consequently, there are no further development endeavors required for the solutions outlined in the aforementioned table.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All of the IVD products are CE marked under the In Vitro Diagnostic Directive (IVDD) 98/79/EC and can be commercialized in the EU. Additionally, we are currently preparing the documentation for the IVDR registration of our IVD products, and we anticipate IVDR approval by the following dates for different device classes:</w:t>
      </w:r>
    </w:p>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 individual risk and high public health risk products (Class D): 31 December 2027;</w:t>
            </w:r>
          </w:p>
        </w:tc>
      </w:tr>
    </w:tbl>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 individual risk and/or moderate public health risk products (Class C): 31 December 2028;</w:t>
            </w:r>
          </w:p>
        </w:tc>
      </w:tr>
    </w:tbl>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moderate individual risk and/or low public health risk (Class B): 31 December 2029;</w:t>
            </w:r>
          </w:p>
        </w:tc>
      </w:tr>
    </w:tbl>
    <w:p>
      <w:pPr>
        <w:pStyle w:val="TextBody"/>
        <w:bidi w:val="0"/>
        <w:ind w:left="960" w:right="0" w:hanging="48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 individual risk and low public health risk products placed on the market in a sterile condition (Class A sterile): 31 December 2029.</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All of our IVD products are registered under the Conformité Européenne In Vitro Diagnostic Directive (CE IVDD) in the EU and can be commercialized in the EU. We also work with local distributors to determine the regulatory obligations and appropriate strategies for market entry. Since 2023, we have commenced sales of our non-COVID products in countries within the European Union (EU), Americas, APAC, and Africa.</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While we do not anticipate any changes to the aforementioned deadlines or any setbacks in obtaining regulatory approvals, we cannot guarantee the success of all our registration efforts. Failure to secure registration for our IVD products in these countries could adversely impact our revenue performance. For the EU, since all of our products are CE marked under IVDD, failure to secure IVDR compliance by the specified deadlines will affect our sales performance in the EU region thereafter.</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History and Structure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Structure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Anbio Biotechnology was incorporated under the laws of the Cayman Islands as an exempted company with limited liability on July 27, 2021.</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Anbio Australia was incorporated under the laws of Australia on October 6, 2021, which became a wholly owned subsidiary of Anbio on February 21, 2022. Anbio Australia has no operation as of the date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Anbio Samoa was incorporated under the laws of the Independent State of Samoa on February 25, 2025, as a wholly owned subsidiary of PharVac BVI to design and supply IVD products and development of drug therapeutics.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AnTherapeutics BVI was incorporated under the laws of the British Virgin Islands on June 29, 2026, as a wholly owned subsidiary of Anbio. AnTherapeutics BVI is an investment holding company and has no business operation as of the date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AnTherapeutics USA was incorporated under the laws of Delaware on July 6, 2026, as a wholly owned subsidiary of AnTherapeutics BVI to develop drug therapeutics.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PharVac BVI was incorporated under the laws of the British Virgin Islands on April 13, 2022, as a wholly owned subsidiary of Anbio. PharVac BVI is an investment holding company and has no business operation as of the date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PharVac USA was incorporated under the law of Delaware on January 18, 2023, as a wholly owned subsidiary of PharVac BVI. PharVac USA has no operation as of the date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LoviWell BVI was incorporated under the law of the British Virgin Islands on February 22, 2023, as a wholly owned subsidiary of Anbio. LoviWell BVI has no operation as of the date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LoviWell USA was incorporated under the law of Delaware on March 28, 2023, as a wholly owned subsidiary of LoviWell BVI. LoviWell has no operation as of the date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Anbio HK was incorporated under the laws of Hong Kong on August 6, 2021, as a wholly owned subsidiary of Anbio. Anbio HK has minimum operation in fiscal year ended December 31, 2021 but has no operation since then and as of the date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AnBai was incorporated under the laws of PRC on May 26, 2021, which became a wholly owned subsidiary of Beijing AnBiAo on February 7, 2023. AnBai has no operation as of the date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Beijing AnBiAo was incorporated under the laws of PRC on September 10, 2021, as a wholly owned subsidiary of Anbio HK. Beijing AnBiAo has no operation as of the date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AnBiAo Xiamen was incorporated under the laws of PRC on October 22, 2021, which is wholly owned by Beijing AnBiAo. AnBiAo Xiamen has no operation as of the date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June 30, 2023, the Company adopted its amended and restated memorandum and articles of association. Simultaneous with the adoption of the amended and restated memorandum and articles of association, the Company’s shareholders resolved to alter the Company’s authorized share capital to consist of 500,000,000 shares, par value US$0.0001 per share, divided into (i) 400,000,000 Class A Ordinary Shares with a par value of US$0.0001 each, and (ii) 100,000,000 Class B Ordinary Shares with a par value of US$0.0001 each (the “Share Restructuring”).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Pursuant to the Share Restructuring, 49 out of the 50 Class B Ordinary Shares held by Growth Inc were surrendered without consideration and 1 Class B Ordinary Share was transferred to CVC Investment; and 49 out of 50 Class B Ordinary Shares held by Successful Inc were surrendered without consideration and 1 Class B Ordinary Share was transferred to Northwestern Investment, in each case with economic effect as of June 30, 2023.</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Concurrently therewith, the Company issued an aggregate of 42,291,200 Class A Ordinary Shares, to various subscribers, including 2,100,000 Class A Ordinary Shares to CVC Investment and 2,100,000 Class A Ordinary Shares to Northwestern Investment.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addition to the Class A Ordinary Shares, the Company issued an aggregate of 99,999,998 Class B Ordinary Shares, consisting of 49,999,999 Class B Ordinary Shares to CVC Investment and 49,999,999 Class B Ordinary Shares to Northwestern Investment, in each case with economic effect as of June 30, 2023.</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of the date of this prospectus, CVC Investment holds 2,100,000 Class A Ordinary Shares and 50,000,000 Class B Ordinary Shares, representing 4.78% and 50% of the total Class A Ordinary Shares and Class B Ordinary Shares respectively, and 49.96% of the total voting rights; and Northwestern Investment holds 2,100,000 Class A Ordinary Shares and 50,000,000 Class B Ordinary Shares, representing 4.78% and 50% of the total Class A Ordinary Shares and Class B Ordinary Shares respectively, and 49.96% of the total voting rights.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The IPO</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20, 2025, the Company completed its initial public offering of 1,600,000 Class A Ordinary Shares at a price of $5.00 per share. The total gross proceeds received from the initial public offering was US$8 million.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Change of Authorized Share Capital</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15, 2026, the Company convened its extraordinary general meeting of shareholders, during which the shareholders of the Company adopted resolutions approving a reduction in the Company’s authorised share capital from (i) US$50,000 divided into 500,000,000 shares of a par value of US$0.0001 each, comprising of 400,000,000 class A ordinary shares of a par value of US$0.0001 each and 100,000,000 class B ordinary shares of a par value of US$0.0001 each, to (ii) US$0.50 divided into 500,000,000 shares of par value US$0.000000001 each, comprising of 400,000,000 Class A Ordinary Shares of par value US$0.000000001 each (the “Class A Ordinary Shares”) and 100,000,000 Class B Ordinary Shares of par value US$0.000000001 each (the “Class B Ordinary Shares”), by way of reduction of the par value of each authorised share in the capital of the Company (including all issued shares) from US$0.0001 to US$0.000000001 and an increase the Company’s authorised share capital from:</w:t>
      </w:r>
    </w:p>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US$0.50 divided into 500,000,000 shares of par value US$0.000000001 each, comprising of 400,000,000 Class A Ordinary Shares of par value US$0.000000001 each and 100,000,000 Class B Ordinary Shares of par value US$0.000000001 each, to</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US$3,000 divided into 3,000,000,000,000 shares of par value US$0.000000001 each, comprising of 800,000,000,000 Class A Ordinary Shares, 200,000,000,000 Class B Ordinary Shares, 1,000,000,000,000 Class C Ordinary Shares of par value US$0.000000001 each (the “Class C Ordinary Shares”) and 1,000,000,000,000 preference shares of par value US$0.000000001 each (the “Preference Shares”)</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Summary of Risk Factors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Investing in our Class A Ordinary Shares involves a high degree of risk. This summary does not address all of the risks that we face. Please refer to the information contained in and incorporated by reference under the heading “Risk Factors” on page 8 of this prospectus.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u w:val="single"/>
          <w:bdr w:val="single" w:sz="8" w:space="5" w:color="000000"/>
        </w:rPr>
      </w:pPr>
      <w:r>
        <w:rPr>
          <w:rFonts w:ascii="Times New Roman;Times;Serif" w:hAnsi="Times New Roman;Times;Serif"/>
          <w:b w:val="false"/>
          <w:i w:val="false"/>
          <w:caps w:val="false"/>
          <w:smallCaps w:val="false"/>
          <w:sz w:val="20"/>
          <w:u w:val="single"/>
          <w:bdr w:val="single" w:sz="8" w:space="5" w:color="000000"/>
        </w:rPr>
        <w:t>Risks Related to our Class A Ordinary Shares and this Offering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Risks related to our Class A Ordinary Shares and this offering, beginning on page 8 of this prospectus, include but are not limited to the following:</w:t>
      </w:r>
    </w:p>
    <w:p>
      <w:pPr>
        <w:pStyle w:val="TextBody"/>
        <w:bidi w:val="0"/>
        <w:jc w:val="both"/>
        <w:rPr>
          <w:caps w:val="false"/>
          <w:smallCaps w:val="false"/>
          <w:bdr w:val="single" w:sz="8" w:space="5" w:color="000000"/>
        </w:rPr>
      </w:pPr>
      <w:r>
        <w:rPr>
          <w:caps w:val="false"/>
          <w:smallCaps w:val="false"/>
          <w:bdr w:val="single" w:sz="8" w:space="5" w:color="000000"/>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pPr>
            <w:r>
              <w:rPr/>
              <w:t>“</w:t>
            </w:r>
            <w:r>
              <w:rPr>
                <w:rFonts w:ascii="Times New Roman;Times;Serif" w:hAnsi="Times New Roman;Times;Serif"/>
                <w:sz w:val="20"/>
              </w:rPr>
              <w:t>The multi-class structure has the effect of concentrating voting control.” See page 8.</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We may lose our status as a “foreign private issuer” in the United States, which would result in increased costs related to regulatory compliance under United States securities laws.” See page 8.</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The trading price of our Class A Ordinary Shares may be volatile, including any stock run-ups, which could result in substantial losses to you.” See page 9.</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If securities or industry analysts do not publish or publish inaccurate or unfavorable research about our business, or if they adversely change their recommendations regarding our Class A Ordinary Shares, the market price for our Class A Ordinary Shares and trading volume could decline.” See page 9.</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Because the amount, timing, and whether or not we distribute dividends at all is entirely at the discretion of our board of directors, you must rely on price appreciation of our Class A Ordinary Shares for return on your investment.” See page 10.</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There is uncertainty as to the enforceability in the Cayman Islands of judgments predicated upon the civil liability provisions of the securities laws of the United States or any state in the United States. Therefore, certain judgments obtained against us by our shareholders may be difficult to enforce in such jurisdiction.” See page 10.</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 xml:space="preserve">There is uncertainty as to the enforceability in the Independent State of Samoa of judgments predicated upon the civil liability provisions of the securities laws of the United States or any state in the United States. Therefore, certain judgments obtained against our Operating Entity may be difficult to enforce in such jurisdiction.” See page </w:t>
            </w:r>
            <w:r>
              <w:rPr>
                <w:rFonts w:ascii="Times New Roman;Times;Serif" w:hAnsi="Times New Roman;Times;Serif"/>
                <w:color w:val="070706"/>
                <w:sz w:val="20"/>
              </w:rPr>
              <w:t>10</w:t>
            </w:r>
            <w:r>
              <w:rPr>
                <w:rFonts w:ascii="Times New Roman;Times;Serif" w:hAnsi="Times New Roman;Times;Serif"/>
                <w:sz w:val="20"/>
              </w:rPr>
              <w:t>.</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You may face difficulties in protecting your interests, and your ability to protect your rights through U.S. courts may be limited, because we are incorporated under Cayman Islands law.” See page 11.</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Because we are a foreign private issuer and are exempt from certain Nasdaq corporate governance standards applicable to U.S. issuers, you will have less protection than you would have if we were a domestic issuer.” See page 11.</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As a company incorporated in the Cayman Islands, we are permitted to adopt certain Cayman Islands’ practices in relation to corporate governance matters that differ significantly from the Nasdaq Global Market listing standards; these practices may afford less protection to shareholders than they would enjoy if we complied fully with the Nasdaq Global Market listing standards.” See page 11.</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There can be no assurance that we will not be a passive foreign investment company, or PFIC, for United States federal income tax purposes for any taxable year, which could subject United States investors in our Class A Ordinary Shares to significant adverse United States income tax consequences.” See page 12.</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We will incur increased costs as a result of being a public company, particularly after we cease to qualify as an emerging growth company.” See page 12.</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Based on the Economic Substance Legislation of the Cayman Islands, it is anticipated that the Company will be subject to limited substance requirements applicable to a holding company.” See page 13.</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Our Class A Ordinary Shares may be thinly traded and you may be unable to sell at or near ask prices or at all if you need to sell your shares to raise money or otherwise desire to liquidate your shares.” See page 14.</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You will experience immediate and substantial dilution in the net tangible book value of the Class A Ordinary Shares purchased.” See page 14.</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Shares eligible for future sale may adversely affect the market price of our Class A Ordinary Shares, as the future sale of a substantial amount of issued and outstanding Class A Ordinary Shares in the public marketplace could reduce the price of our Class A Ordinary Shares.” See page 14.</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We have broad discretion in the use of the net proceeds from this Offering and may not use them effectively.” See page 14.</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If we cannot satisfy, or continue to satisfy, the continued listing requirements and other rules of Nasdaq Global Market, although we are exempt from certain corporate governance standards applicable to US issuers as a Foreign Private Issuer, our Class A Ordinary Shares may be delisted, which could negatively impact the price of our Class A Ordinary Shares and your ability to sell them.” See page 14.</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Corporate Information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principal executive office is located at Friedrich-Ebert-Anlage 35-37, 60327, Frankfurt am Main, Germany. Our telephone number is +49 69870039170. Our registered office in the Cayman Islands is located at the offices of Vistra (Cayman) Limited, P. O. Box 31119, Grand Pavilion, Hibiscus Way, 802 West Bay Road, Grand Cayman, KY1 - 1205 Cayman Islands. Our agent for service of process in the United States is C T Corporation System, 128 Liberty Street, New York, NY 10005, +1-212-894-8940.</w:t>
      </w:r>
    </w:p>
    <w:p>
      <w:pPr>
        <w:pStyle w:val="TextBody"/>
        <w:bidi w:val="0"/>
        <w:ind w:left="0" w:right="0" w:firstLine="49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main website is www.anbiobiotechnology.com. The information contained on this website is not a part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Implications of Being a Foreign Private Issuer </w:t>
      </w:r>
    </w:p>
    <w:p>
      <w:pPr>
        <w:pStyle w:val="TextBody"/>
        <w:bidi w:val="0"/>
        <w:ind w:left="0" w:right="0" w:firstLine="49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“foreign private issuer,” as defined by the SEC. As a result, in accordance with Nasdaq rules, we comply with home country governance requirements and certain exemptions thereunder rather than complying with Nasdaq corporate governance standards. While we expect to voluntarily follow most Nasdaq corporate governance rules, we may choose to take advantage of the following limited exemptions: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 from filing quarterly reports on Form 10-Q containing unaudited financial and other specified information or current reports on Form 8-K upon the occurrence of specified significant events;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 from certain Section 16 rules regarding sales of Class A Ordinary Shares by insiders, which will provide less data in this regard than shareholders of U.S. companies that are subject to the Exchange Act;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 for the Nasdaq listing rules applicable to domestic issuers requiring disclosure within four business days of any determination to grant a waiver of the code of business conduct and ethics to directors and officers;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 from the requirement to obtain shareholder approval for certain issuances of securities, including shareholder approval of share option plans;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 from the requirement that our audit committee have review and oversight responsibilities over all “related party transactions,” as defined in Item 7.B. of Form 20-F;</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 xml:space="preserve">RISK FACTORS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carefully review the risks and uncertainties described under the heading “Risk Factors” in Item 3.D. to the 2025 Annual Report incorporated by reference in this prospectus, as the same may be amended, supplemented or superseded by the risks and uncertainties described under similar headings in the applicable prospectus supplement and other documents that filed after the date hereof and incorporated by reference into this prospectus and any accompanying prospectus supplement, before deciding whether to purchase any of the securities being offered.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“Where You Can Find More Information” and “Incorporation of Documents by Reference” for information on where you can find the documents we have filed with or furnished to the SEC and which are incorporated into this prospectus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our Class A Ordinary Shares and this Offering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multi-class structure has the effect of concentrating voting control.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our authorized share capital is US$3,000.00 divided into 3,000,000,000,000 shares of US$0.000000001 par value each, comprising of 800,000,000,000 Class A Ordinary Shares of US$0.000000001 par value each, and 200,000,000,000 Class B Ordinary Shares of US$0.000000001 par value each, 1,000,000,000,000 Class C Ordinary Shares of US$0.000000001 par value each and 1,000,000,000,000 preference shares of US$0.000000001 par value each, of which 43,891,200 Class A Ordinary Shares and 100,000,000 Class B Ordinary Shares issued and outstanding and no Class C Ordinary Shares or Preference Shares outstanding. Holders of Class A Ordinary Shares and Class B Ordinary Shares shall at all times vote together as one class on all matters submitted to a vote by the shareholders. Each Class A Ordinary Share has one (1) vote and each Class B Ordinary Share has five hundred (500) votes. Class A Ordinary Shares are not convertible into Class B Ordinary Shares under any circumstances, and Class B ordinary shares are convertible into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outstanding Class B Ordinary Shares are owned by CVC Investment and Northwestern Investment, and collectively represent 99.91% of the aggregate voting power of our currently outstanding Ordinary Shares as of the date hereof. Because of the five-hundred-to-one voting ratio between our Class B and Class A Ordinary Shares, the holders of our Class B Ordinary Shares collectively will continue to control a majority of the combined voting power of our Class A Ordinary Shares and Class B Ordinary Shares and therefore may have the ability to influence matters requiring shareholder approval, including the election of directors, amendment of organizational documents, and approval of certain corporate transactions, such as a merger or share consolidation. The economic interests in the company held by the Class B shareholders and the voting influence that may be exerted by the Class B shareholders may not be aligned and proportional with the interests of the Class A shareholders. The capital structure and/or disparate voting rights may have anti-takeover effects preventing a change in control transaction that Class A shareholders might consider in their best interest. This concentrated control will limit the ability of holders of Class A Ordinary Shares to influence certain corporate matters for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lose our status as a “foreign private issuer” in the United States, which would result in increased costs related to regulatory compliance under United States securities laws.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cease to qualify as a “foreign private issuer,” as defined in Rule 405 promulgated under the U.S. Securities Act of 1933, as amended (the “Securities Act”) and Rule 3b-4 promulgated under the U.S. Securities Exchange Act of 1934, as amended (the “Exchange Act”), if, as of the last business day of our second fiscal quarter, more than 50 percent of the outstanding Ordinary Shares are directly or indirectly owned by residents of the United States. If we determine that we fail to qualify as a foreign private issuer, the Company will cease to be eligible to avail itself of the forms and rules designated for foreign private issuers beginning on the first day of the fiscal year following such determination. Among other things, this will result in loss of the exemption from registration under the Exchange Act provided by Rule 12g3-2(b) promulgated thereunder, and, if the Company is required to register the Ordinary Shares under section 12(g) of the Exchange Act, we will have to do so as a domestic Company. Further, any securities that we issue in unregistered or unqualified offerings both within and outside the United States will be “restricted securities” (as defined in Rule 144(a)(3) promulgated under the Securities Act), and will continue to be subject to United States resale restrictions notwithstanding their resale in “offshore transactions” pursuant to Regulation S promulgated under the Securities Act. As a practical matter, this will likely require us to register more offerings of our securities under the Securities Act on either a primary offering or resale basis, even if they take place entirely outside the United States. The resulting legal and administrative costs of complying with the resulting regulatory requirements are anticipated to be substantial, and to subject the Company to additional exposure to liability for which we may not be able to obtain insurance coverage on favorable terms, or at all.</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Class A Ordinary Shares may be volatile, including any stock run-ups, which could result in substantial losses to you.</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subject to extreme volatility that is seemingly unrelated to the underlying performance of our business. In particular, our Class A Ordinary Shares may be subject to rapid and substantial price volatility, low volumes of trades and large spreads in bid and ask prices, given that we have relatively small public floats after our initial public offering. Such volatility, including any stock-run up, may be unrelated to our actual or expected operating performance, financial condition or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Class A Ordinary Shares. Furthermore, the potential extreme volatility may confuse the public investors of the value of our stock, distort the market perception of our stock price and our company’s financial performance and public image, negatively affect the long-term liquidity of our Class A Ordinary Shares, regardless of our actual or expected operating performance. If we encounter such volatility, including any rapid stock price increases and declines seemingly unrelated to our actual or expected operating performance and financial condition or prospects, it will likely make it difficult and confusing for prospective investors to assess the rapidly changing value of our Class A Ordinary Shares and understand the value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factors, the price and trading volume of our Class A Ordinary Shares may be highly volatile due to multiple factors, including the following:</w:t>
      </w:r>
    </w:p>
    <w:p>
      <w:pPr>
        <w:pStyle w:val="TextBody"/>
        <w:bidi w:val="0"/>
        <w:ind w:left="960" w:right="0" w:hanging="48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developments affecting us or our industry;</w:t>
            </w:r>
          </w:p>
        </w:tc>
      </w:tr>
    </w:tbl>
    <w:p>
      <w:pPr>
        <w:pStyle w:val="TextBody"/>
        <w:bidi w:val="0"/>
        <w:ind w:left="960" w:right="0" w:hanging="48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revenues, profit, and cash flow;</w:t>
            </w:r>
          </w:p>
        </w:tc>
      </w:tr>
    </w:tbl>
    <w:p>
      <w:pPr>
        <w:pStyle w:val="TextBody"/>
        <w:bidi w:val="0"/>
        <w:ind w:left="960" w:right="0" w:hanging="48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economic performance or market valuations of other financial services firms;</w:t>
            </w:r>
          </w:p>
        </w:tc>
      </w:tr>
    </w:tbl>
    <w:p>
      <w:pPr>
        <w:pStyle w:val="TextBody"/>
        <w:bidi w:val="0"/>
        <w:ind w:left="960" w:right="0" w:hanging="48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our results of operations and changes or revisions of our expected results;</w:t>
            </w:r>
          </w:p>
        </w:tc>
      </w:tr>
    </w:tbl>
    <w:p>
      <w:pPr>
        <w:pStyle w:val="TextBody"/>
        <w:bidi w:val="0"/>
        <w:ind w:left="960" w:right="0" w:hanging="48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estimates by securities research analysts;</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detrimental negative publicity about us, our services, our officers, directors, Controlling Shareholder, other beneficial owners, our business partners, or our industry;</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new service offerings, acquisitions, strategic relationships, joint ventures, capital raisings or capital commitments;</w:t>
            </w:r>
          </w:p>
        </w:tc>
      </w:tr>
    </w:tbl>
    <w:p>
      <w:pPr>
        <w:pStyle w:val="TextBody"/>
        <w:bidi w:val="0"/>
        <w:ind w:left="960" w:right="0" w:hanging="48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to or departures of our senior management;</w:t>
            </w:r>
          </w:p>
        </w:tc>
      </w:tr>
    </w:tbl>
    <w:p>
      <w:pPr>
        <w:pStyle w:val="TextBody"/>
        <w:bidi w:val="0"/>
        <w:ind w:left="960" w:right="0" w:hanging="48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litigation or regulatory proceedings involving us, our officers, directors, or Controlling Shareholder;</w:t>
            </w:r>
          </w:p>
        </w:tc>
      </w:tr>
    </w:tbl>
    <w:p>
      <w:pPr>
        <w:pStyle w:val="TextBody"/>
        <w:bidi w:val="0"/>
        <w:ind w:left="960" w:right="0" w:hanging="48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release or expiry of lock-up or other transfer restrictions on our outstanding Class A Ordinary Shares; and</w:t>
            </w:r>
          </w:p>
        </w:tc>
      </w:tr>
    </w:tbl>
    <w:p>
      <w:pPr>
        <w:pStyle w:val="TextBody"/>
        <w:bidi w:val="0"/>
        <w:ind w:left="960" w:right="0" w:hanging="48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or perceived potential sales of additional Class A Ordinary Shares.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large and sudden changes in the volume and price at which our Class A Ordinary Shares will trade.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publish inaccurate or unfavorable research about our business, or if they adversely change their recommendations regarding our Class A Ordinary Shares, the market price for our Class A Ordinary Shares and trading volume could decline.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will depend in part on the research and reports that securities or industry analysts publish about us or our business. If research analysts do not establish and maintain adequate research coverage or if one or more of the analysts who covers us downgrades our Ordinary Shares or publishes inaccurate or unfavorable research about our business, the market price for our Ordinary Shares would likely decline. If one or more of these analysts cease coverage of the Company or fail to publish reports on us regularly, we could lose visibility in the financial markets, which, in turn, could cause the market price or trading volume for our Ordinary Shares to decline.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amount, timing, and whether or not we distribute dividends at all is entirely at the discretion of our board of directors, you must rely on price appreciation of our Class A Ordinary Shares for return on your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All dividends are subject to certain restrictions under the Cayman Islands law, namely that the Company may only pay dividends out of profits or share premium, provided that under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likely depend entirely upon any future price appreciation of our Class A Ordinary Shares. You may not realize a return on your investment in our Class A Ordinary Shares and you may even lose your entire investment in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There is uncertainty as to the enforceability in the Cayman Islands of judgments predicated upon the civil liability provisions of the securities laws of the United States or any state in the United States. Therefore, certain judgments obtained against us by our shareholders may be difficult to enforce in such jurisdiction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incorporated under the laws of the Cayman Islands. We conduct our operations outside the United States and substantially all of our assets are located outside the United States. As a result, it may be difficult or impossible for you to bring an action against us in the United States in the event that you believe that your rights have been infringed under the U.S. federal securities laws or otherwise. Even if you are successful in bringing an action of this kind, the laws of the Cayman Islands, or other relevant jurisdictions may render you unable to enforce a judgment against our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(Cayman) LLP, our counsel as to the laws of the Cayman Islands, has advised us that there is uncertainty as to whether the courts of the Cayman Islands would (1) recognize or enforce judgments of U.S. courts obtained against us or our directors or officers that are predicated upon the civil liability provisions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Mourant Ozannes (Cayman)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w:t>
      </w:r>
      <w:r>
        <w:rPr>
          <w:rFonts w:ascii="Times New Roman;Times;Serif" w:hAnsi="Times New Roman;Times;Serif"/>
          <w:b w:val="false"/>
          <w:i/>
          <w:caps w:val="false"/>
          <w:smallCaps w:val="false"/>
          <w:sz w:val="20"/>
        </w:rPr>
        <w:t xml:space="preserve">in personam </w:t>
      </w:r>
      <w:r>
        <w:rPr>
          <w:rFonts w:ascii="Times New Roman;Times;Serif" w:hAnsi="Times New Roman;Times;Serif"/>
          <w:b w:val="false"/>
          <w:i w:val="false"/>
          <w:caps w:val="false"/>
          <w:smallCaps w:val="false"/>
          <w:sz w:val="20"/>
        </w:rPr>
        <w:t>obtained in such jurisdiction may be recognized and enforced in the courts of the Cayman Islands at common law, without any re-examination of the merits of the underlying dispute, by an action commenced on the foreign judgment debt in the Grand Court of the Cayman Islands, provided such judgment (a) is given by a competent foreign court with jurisdiction to give the judgment, (b) imposes a specific positive obligation on the judgment debtor (such as an obligation to pay a liquidated sum or perform a specified obligation), (c) is final and conclusive, (d) is not in respect of taxes, a fine or a penalty; (e) has not been obtained by fraud; and (f) was not obtained in a manner and is not of a kind the enforcement of which is contrary to natural justice or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There is uncertainty as to the enforceability in the Independent State of Samoa of judgments predicated upon the civil liability provisions of the securities laws of the United States or any state in the United States. Therefore, certain judgments obtained against our Operating Entity may be difficult to enforce in such jurisdiction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CLARKE EY KORIA LAWYERS, our counsel as to the laws of the Independent State of Samoa (“Samoa”), has advised us that the courts of the Samoa (where our Operating Entity is located) are unlikely (i) to recognize or enforce judgments of courts of the United States predicated upon the civil liability provisions of the securities laws of the United States or any State; and (ii) in original actions brought in Samoa, to impose liabilities predicated upon the civil liability provisions of the securities laws of the United States or any State, in so far as the liabilities imposed by those provisions are penal in nature.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is no statutory enforcement in Samoa of judgments obtained in the United States, the courts of Samoa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Samoa, such judgment must be final and conclusive and for a liquidated sum, and must not be in respect of taxes or a fine or penalty, inconsistent with a Samoan judgment in respect of the same matter, impeachable on the grounds of fraud or obtained in a manner, and or be of a kind the enforcement of which is, contrary to natural justice or the public policy of Samoa (awards of punitive or multiple damages may well be held to be contrary to public policy).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Samoan Court may stay enforcement proceedings if concurrent proceedings are being brought elsewhere.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there are recent conflicting English authorities about the enforcement of orders in foreign bankruptcy/insolvency proceedings and whether such orders should be subject to the principles outlined above. English authorities are not binding on Samoan Courts but remain persuasive.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there is no Samoan Court judgment or statute that conclusively resolves these conflicting approaches and it remains the case that the law regarding the enforcement of bankruptcy/insolvency related judgments is still in a state of uncertainty.</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incorporated under the laws of the Cayman Islands. Our corporate affairs are governed by our amended and restated memorandum and articles of association, the Companies Act (as amended) of the Cayman Islands (the “Cayman Islands Companies Act”) and the common law of the Cayman Islands. The rights of shareholders to take action against our directors, actions by our minority shareholders and the fiduciary duties of our directors to us under the Cayman Islands laws are to a large extent governed by the common law of the Cayman Islands. The common law of the Cayman Islands is derived in part from comparatively limited judicial precedent in the Cayman Islands as well as from the common law of England. Decisions of the Privy Council (which is the final Court of Appeal for British overseas territories such as the Cayman Islands) are binding on a court in the Cayman Islands. Decisions of the English courts, and particularly the Supreme Court and the Court of Appeal, are of persuasive authority, but are not binding, on a court in the Cayman Islands. Decisions of courts in other Commonwealth jurisdictions are similarly of persuasive but not binding authority. The rights of our shareholders and the fiduciary duties of our directors under the Cayman Islands laws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the Cayman Islands companies may not have standing to initiate a shareholder derivative action in a federal court of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companies like us have no general rights under the Cayman Islands laws to inspect corporate records, other than the amended and restated memorandum and articles of association and any special resolutions passed by such companies, and the registers of mortgages and charges of such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where our holding company was incorporated, differ significantly from requirements for companies incorporated in other jurisdictions such as the United States. Currently, we do not plan to rely on home country practice with respect to our corporate governance. However, if we choose to follow the Cayman Islands’ practice in the future, our shareholders may be afforded less protection than they otherwise would under rules and regulations applicable to U.S. domestic issuers.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public shareholders may have more difficulty in protecting their interests in the face of actions taken by our management, members of our board of directors, or our Controlling Shareholder than they would as public shareholders of a company incorporated in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 foreign private issuer and are exempt from certain Nasdaq corporate governance standards applicable to U.S. issuers, you will have less protection than you would have if we were a domestic issuer.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rules require listed companies to have, among other things, a majority of its board members be independent. As a foreign private issuer, however, we are permitted to, and we may follow home country practice in lieu of the above requirements, or we may choose to comply with the above requirement within one year of listing. The corporate governance practice in our home country, the Cayman Islands, does not require a majority of our board to consist of independent directors. Thus, although a director must act in what that director considers to be the best interests of the Company, it is possible that fewer board members will be exercising independent judgment and the level of board oversight on the management of our Company may decrease as a result. In addition, Nasdaq listing rules also require U.S. domestic issuers to have a compensation committee, a nominating/corporate governance committee composed entirely of independent directors, and an audit committee with a minimum of three members. We, as a foreign private issuer, are not subject to these requirements. 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the requirements of Nasdaq listing rules in determining whether shareholder approval is required on such matters and to appoint a nominating and corporate governance committee. We may, however, consider following home country practice in lieu of the requirements under Nasdaq listing rules with respect to certain corporate governance standards which may afford less protection to investors.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incorporated in the Cayman Islands, we are permitted to adopt certain Cayman Islands’ practices in relation to corporate governance matters that differ significantly from the Nasdaq Global Market listing standards; these practices may afford less protection to shareholders than they would enjoy if we complied fully with the Nasdaq Global Market listing standards.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Global Market, we are subject to the Nasdaq Global Market listing standards. However, the Nasdaq Global Market rules permit a foreign private issuer like us to follow the corporate governance practices of its home country. Certain corporate governance practices in the Cayman Islands, which is our home country, may differ significantly from the Nasdaq Global Market listing standards. Currently, we do not plan to rely on home country practices with respect to our corporate governance. However, if we choose to follow home country practices in the future, our shareholders may be afforded less protection than they would otherwise enjoy under the Nasdaq Global Market listing standards applicable to U.S. domestic issuers.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not be a passive foreign investment company, or PFIC, for United States federal income tax purposes for any taxable year, which could subject United States investors in our Class A Ordinary Shares to significant adverse United States income tax consequences.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classified as a passive foreign investment company, or PFIC, for any taxable year if either (i) 75% or more of our gross income for such year consists of certain types of “passive” income, or (ii) 50% or more of the value of our assets (determined on the basis of a quarterly average) during such year produce or are held for the production of passive income (the “asset test”). Based upon our current and expected income and assets, including goodwill and the value of the assets held by our strategic investment business, the proceeds from our initial public offering as well as the market price of our Class A Ordinary Shares, we do not presently expect to be classified as a PFIC for the current taxable year or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expect to be a PFIC, because the value of our assets, for purposes of the asset test, may be determined by reference to the market price of our Class A Ordinary Shares, fluctuations in the market price of our Class A Ordinary Shares may cause us to become a PFIC classification for the current or subsequent taxable years. The determination of whether we will be or become a PFIC will also depend, in part, on the composition and classification of our income, including the relative amounts of income generated by and the value of assets of our strategic investment business as compared to our other businesses. Because there are uncertainties in the application of the relevant rules, it is possible that the U.S. Internal Revenue Service, or IRS, may challenge our classification of certain income and assets as non-passive which may result in our being or becoming a PFIC in the current or subsequent years. In addition, the composition of our income and assets will also be affected by how, and how quickly, we use our liquid assets and the cash raised in our initial public offering. If we determine not to deploy significant amounts of cash for active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in any taxable year, a U.S. Holder (as defined in “Taxation - United States Federal Income Tax Considerations”) may incur significantly increased United States income tax on gain recognized on the sale or other disposition of our Class A Ordinary Shares and on the receipt of distributions on our Class A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Class A Ordinary Shares, we will generally continue to be treated as a PFIC for all succeeding years during which such U.S. Holder holds our Class A Ordinary Shares. We do not intend to provide the information that would enable investors to make a qualified electing fund election that could mitigate the adverse U.S. federal income tax consequences should we be classified as a PFIC. For more information see “Taxation - United States Federal Income Tax Considerations - Passive Foreign Investment Company Rules” beginning on page 41 of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increased costs as a result of being a public company, particularly after we cease to qualify as an emerging growth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expect to incur significant legal, accounting and other expenses that we did not incur as a private company. The Sarbanes-Oxley Act of 2002 and the rules subsequently implemented by the SEC and the New York Stock Exchange detailed requirements concerning corporate governance practices of public companies. As a company with less than US$1.235 billion in net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relating to internal controls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time and attention to our public company reporting obligations and other compliance matters.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as long as we are an emerging growth company, we will not be required to comply with certain reporting requirements, including those relating to accounting standards and disclosure about our executive compensation, that apply to other public companies.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of 1933, as amended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We have not made a decision whether to take advantage of any other exemptions available to emerging growth companies. We do not know if some investors will find our Class A Ordinary Shares less attractive as a result of our utilization of these or other exemptions. The result may be a less active trading market for our Class A Ordinary Shares and our share price may be more volatile.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 the last day of the first fiscal year in which our annual gross revenues exceed $1.235 billion, (b) the date that we become a “large accelerated filer” as defined in Rule 12b-2 under the Exchange Act, which would occur if the market value of our Class A Ordinary Shares that are held by non-affiliates exceeds $700 million as of the last business day of our most recently completed second fiscal quarter, (c) the date on which we have issued more than $1.0 billion in nonconvertible debt during the preceding three-year period or (d) the last day of our fiscal year containing the fifth anniversary of the date on which our shares become publicly traded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These rights, however, may be provided in a company’s articles of association. Our articles of association allow our shareholders holding shares representing a majority of the votes attaching to the issued and outstanding shares of the Company to requisition a general meeting, in which case our directors are obliged to call a meeting. </w:t>
      </w:r>
    </w:p>
    <w:p>
      <w:pPr>
        <w:pStyle w:val="TextBody"/>
        <w:bidi w:val="0"/>
        <w:ind w:left="0" w:right="0" w:firstLine="36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no other right to put any proposals before any general meeting. As a Cayman Islands exempted company, we are not obligated by law to call annual general meetings. However, our corporate governance guidelines require us to call such meetings every year. Advance notice of at least five days is required for the convening of any general meeting of our shareholders. A quorum required for a meeting of shareholders shall be the presence, in person or by proxy, of at least one shareholder representing not less than one-third of the total voting rights of the issued and outstanding shares carrying the right to vote at a general meeting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vote for directors if you hold insufficient shares to requisition a general meeting and no general meetings are otherwise convened by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serve until their successor is duly elected and qualified, or until their earlier death, resignation or removal. Shareholders may remove and appoint directors at any time by ordinary resolution. However, as a Cayman Islands exempted company, we are not required to hold any annual general meetings and, under our articles of association, shareholders are not able to requisition a meeting unless the requisitionists, between them, hold in aggregate shares representing a majority of the votes attaching to the issued and outstanding shares of the Company. As a result, shareholders who hold shares representing less than a majority of the votes attaching to the issued and outstanding shares of the Company may not have opportunity to vote on directors if no general meetings are convened by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Based on the Economic Substance Legislation of the Cayman Islands, it is anticipated that the Company will be subject to limited substance requirements applicable to a holding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introduced legislation aimed at addressing concerns raised by the Council of the European Union (the “EU”) as to offshore structures engaged in certain activities which attract profits without real economic activity. With effect from January 1, 2019, the International Tax Co-operation (Economic Substance) Act (as amended) (the “Economic Substance Act”) came into force in the Cayman Islands introducing certain economic substance requirements for in-scope Cayman Islands entities which are engaged in certain “relevant activities”. As we are a Cayman Islands company, compliance obligations include filing annual notifications for the Company, which need to state whether we are carrying out any “relevant activities” and if so, whether we have satisfied economic substance tests to the extent required under the Economic Substance Act. It is anticipated that the Economic Substance Act will evolve and be subject to further clarification and amendments. We may need to allocate additional resources to keep updated with these developments and may have to make changes to our operations in order to comply with all requirements under the Economic Substance Act. Failure to satisfy these requirements may subject us to penalties under the Economic Substance Act.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Class A Ordinary Shares may be thinly traded and you may be unable to sell at or near ask prices or at all if you need to sell your shares to raise money or otherwise desire to liquidate your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“thinly-traded,” meaning that the number of persons interested in purchasing our Class A Ordinary Shares at or near bid prices at any given time may be relatively small or non-existent. This situation may be attributable to a number of factors, including the fact that we are relatively unknown to stock analysts, stockbrokers, institutional investors and others in the investment community that generate or influence sales volume, and that even if we come to the attention of such persons, they tend to be risk-averse and might be reluctant to follow an unproven company such as ours or purchase or recommend the purchase of our shares until such time as we became more seasoned.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A broad or active public trading market for our Class A Ordinary Shares may not develop or be sustained.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and substantial dilution in the net tangible book value of the Class A Ordinary Shares purchased.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of our Class A Ordinary Shares is substantially higher than the pro forma net tangible book value per share of our Class A Ordinary Shares. If you purchase shares in this offering, you will incur immediate dilution in the pro forma net tangible book value per Class A Ordinary Share from the price per Class A Ordinary Share that you pay for the shares. Accordingly, if you purchase shares in this offering, you will incur immediate and substantial dilution of your investment.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eligible for future sale may adversely affect the market price of our Class A Ordinary Shares, as the future sale of a substantial amount of issued and outstanding Class A Ordinary Shares in the public marketplace could reduce the price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Ordinary Shares could decline as a result of sales of substantial amounts of our shares in the public market, or the perception that these sales could occur. In addition, these factors could make it more difficult for us to raise funds through future offerings of our Class A Ordinary Shares. All of the shares sold during our IPO are freely transferable without restriction or further registration under the Securities Act of 1933 (the “Securities Act”). The remaining shares will be “restricted securities” as defined in Rule 144. These shares may be sold in the future without registration under the Securities Act to the extent permitted by Rule 144 or other exemptions under the Securities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not use them effectively.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satisfy, or continue to satisfy, the continued listing requirements and other rules of Nasdaq Global Market, although we are exempt from certain corporate governance standards applicable to US issuers as a Foreign Private Issuer, our Class A Ordinary Shares may be delisted, which could negatively impact the price of our Class A Ordinary Shares and your ability to sell them.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are listed on the Nasdaq Global Market. We cannot assure you that our securities will continue to be listed on the Nasdaq Global Market. In order to maintain our listing on the Nasdaq Global Market, we are required to comply with certain rules, including those regarding minimum stockholders’ equity, minimum share price, minimum market value of publicly held shares, and various additional requirements. Even if we initially met the listing requirements and other applicable rules of the Nasdaq Global Market, we may not be able to continue to satisfy these requirements and applicable rules. If we are unable to satisfy the criteria for maintaining our listing, our securities could be subject to delisting.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Global Market delists our Class A Ordinary Shares from trading, we could face significant consequences, including:</w:t>
      </w:r>
    </w:p>
    <w:p>
      <w:pPr>
        <w:pStyle w:val="TextBody"/>
        <w:bidi w:val="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for market quotations for our Class A Ordinary Shares;</w:t>
            </w:r>
          </w:p>
        </w:tc>
      </w:tr>
    </w:tbl>
    <w:p>
      <w:pPr>
        <w:pStyle w:val="TextBody"/>
        <w:bidi w:val="0"/>
        <w:ind w:left="960" w:right="0" w:hanging="48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liquidity with respect to our Class A Ordinary Shares;</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that our Ordinary Share is a “penny stock” which will require brokers trading in our Ordinary Share to adhere to more stringent rules and possibly result in a reduced level of trading activity in the secondary trading market for our Ordinary Share;</w:t>
            </w:r>
          </w:p>
        </w:tc>
      </w:tr>
    </w:tbl>
    <w:p>
      <w:pPr>
        <w:pStyle w:val="TextBody"/>
        <w:bidi w:val="0"/>
        <w:jc w:val="left"/>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amount of news and analyst coverage; and</w:t>
            </w:r>
          </w:p>
        </w:tc>
      </w:tr>
    </w:tbl>
    <w:p>
      <w:pPr>
        <w:pStyle w:val="TextBody"/>
        <w:bidi w:val="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to issue additional securities or obtain additional financing in the future.</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 xml:space="preserve">USE OF PROCEEDS </w:t>
      </w:r>
    </w:p>
    <w:p>
      <w:pPr>
        <w:pStyle w:val="TextBody"/>
        <w:bidi w:val="0"/>
        <w:ind w:left="0" w:right="0" w:firstLine="49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or in any free writing prospectus that we may authorized to be provided to you in connection with a specific offering, we intend to use any net proceeds from the sale of securities under this prospectus to fund activities relating to the continued research and clinical development, commercialization of our product and for other general corporate purposes, including, but not limited to, working capital, capital expenditures, investments, acquisitions, should we choose to pursue any,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and interest-bearing securities. We will not receive any proceeds from the sale of our Class A Ordinary Shares by the selling shareholders (if any).</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 xml:space="preserve">DESCRIPTION OF SHARE CAPITAL AND ARTICLES OF ASSOCIATION </w:t>
      </w:r>
    </w:p>
    <w:p>
      <w:pPr>
        <w:pStyle w:val="TextBody"/>
        <w:bidi w:val="0"/>
        <w:ind w:left="0" w:right="0" w:firstLine="49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with limited liability and our affairs are governed by our Second Amended and Restated Memorandum and Articles of Association, or our Memorandum and Articles, the Companies Act (as amended) of the Cayman Islands, which we refer to as the Companies Act below and the common law by the Cayman Islands.</w:t>
      </w:r>
    </w:p>
    <w:p>
      <w:pPr>
        <w:pStyle w:val="TextBody"/>
        <w:bidi w:val="0"/>
        <w:ind w:left="0" w:right="0" w:firstLine="49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is US$3,000.00 divided into 3,000,000,000,000 shares of US$0.000000001 par value each, comprising of 800,000,000,000 Class A Ordinary Shares of US$0.000000001 par value each, and 200,000,000,000 Class B Ordinary Shares of US$0.000000001 par value each, 1,000,000,000,000 Class C Ordinary Shares of US$0.000000001 par value each and 1,000,000,000,000 preference shares of US$0.000000001 par value each.</w:t>
      </w:r>
    </w:p>
    <w:p>
      <w:pPr>
        <w:pStyle w:val="TextBody"/>
        <w:bidi w:val="0"/>
        <w:ind w:left="0" w:right="0" w:firstLine="49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had 43,891,200 Class A Ordinary Shares and 100,000,000 Class B Ordinary Shares outstanding.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Amended and Restated Memorandum and Articles of Association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the material provisions of our amended and restated memorandum and articles of association and the Companies Act (as amended), insofar as they relate to the material terms of our Class A Ordinary Shares, Class B Ordinary Shares and Class C Ordinary Shares. They do not purport to be complete. Reference is made to our second amended and restated memorandum and articles of association (and which is referred to in this section as collectively, the “M&amp;A”; respectively, the “memorandum” and the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Cayman Islands Companies Act on July 27, 2021. A Cayman Islands exempted company:</w:t>
      </w:r>
    </w:p>
    <w:p>
      <w:pPr>
        <w:pStyle w:val="TextBody"/>
        <w:bidi w:val="0"/>
        <w:ind w:left="960" w:right="0" w:hanging="48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a company that conducts its business mainly outside the Cayman Islands;</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prohibited from trading in the Cayman Islands with any person, firm or corporation except in furtherance of the business of the exempted company carried on outside the Cayman Islands (and for this purpose can affect and conclude contracts in the Cayman Islands and exercise in the Cayman Islands all of its powers necessary for the carrying on of its business outside the Cayman Islands);</w:t>
            </w:r>
          </w:p>
        </w:tc>
      </w:tr>
    </w:tbl>
    <w:p>
      <w:pPr>
        <w:pStyle w:val="TextBody"/>
        <w:bidi w:val="0"/>
        <w:ind w:left="960" w:right="0" w:hanging="48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ind w:left="960" w:right="0" w:hanging="48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make its register of members open to inspection by shareholders of that company;</w:t>
            </w:r>
          </w:p>
        </w:tc>
      </w:tr>
    </w:tbl>
    <w:p>
      <w:pPr>
        <w:pStyle w:val="TextBody"/>
        <w:bidi w:val="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for a specified period (such undertakings are usually given for 20 years in the first instance);</w:t>
            </w:r>
          </w:p>
        </w:tc>
      </w:tr>
    </w:tbl>
    <w:p>
      <w:pPr>
        <w:pStyle w:val="TextBody"/>
        <w:bidi w:val="0"/>
        <w:ind w:left="960" w:right="0" w:hanging="48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ind w:left="960" w:right="0" w:hanging="48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ind w:left="960" w:right="0" w:hanging="48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Class A Ordinary Shares and Class B Ordinary Shares are fully paid and non-assessable. Our Class A Ordinary Shares and Class B Ordinary Shares are issued in registered book-entry form, and are issued when registered in our register of members. Unless the Board of Directors determines otherwise, each holder of our Ordinary Shares will not receive a certificate in respect of such Ordinary Shares. Our shareholders who are non-residents of the Cayman Islands may freely hold and vote their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US$3,000.00 divided into 3,000,000,000,000 shares of US$0.000000001 par value each, comprising of 800,000,000,000 Class A Ordinary Shares of US$0.000000001 par value each, and 200,000,000,000 Class B Ordinary Shares of US$0.000000001 par value each, 1,000,000,000,000 Class C Ordinary Shares of US$0.000000001 par value each and 1,000,000,000,000 preference shares of US$0.000000001 par value each. Subject to the provisions of the Cayman Islands Companies Act and our articles, the directors have general and unconditional authority to allot, grant options over or otherwise deal with any unissued shares to such persons, at such times and on such terms and conditions as they may decide. No share may be issued at a discount except in accordance with the provisions of the Cayman Islands Companies Act. The directors may refuse to accept any application for shares, and may accept any application in whole or in part, for any reason or for no reason.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currently 43,891,200 Class A Ordinary Shares and 100,000,000 Class B Ordinary Shares issued and outstanding and no Class C Ordinary Shares or Preference Shares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in the Company confers upon the shareholder the right to one vote per share at a meeting of the shareholders of the Company or on any resolution of shareholders. Holders of our Class A Ordinary Share will vote together with holders of our Class B ordinary shares as a single class on all matters presented to our shareholders for their approval at any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in the Company confers upon the shareholder the right to an equal share in any dividend paid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in the Company confers upon the shareholder the right to an equal share in the distribution of the surplus assets of the Company on its winding up.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Class A ordinary shares are fully paid and non-assessable. Our Class A ordinary shares are issued in registered form. Share certificates will not be issued unless our directors determine otherwise. Our shareholders who are non-residents of the Cayman Islands may freely hold and vote their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in the Company confers upon the shareholder the right to five hundred votes at a meeting of the shareholders of the Company or on any resolution of shareholders. Holders of our Class B ordinary share will vote together with holders of our Class A ordinary share as a single class on all matters presented to our shareholders for their approval at any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do not have any economic interest in our Company, save that, upon a winding up, each Class B ordinary share shall entitle the holder thereof to repayment of capital in an amount equal to the par value of thereof, being an amount of US$0.000000001 per Class B ordinary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not convertible into Class B ordinary shares, and our Class B ordinary shares are convertible into Class A ordinary shares, in accordance with the terms of the Articles.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C Ordinary Shares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Ordinary Shares shall be non-voting shares and shall not confer any rights to vote at any general meeting of the Company. Each Class C Ordinary Share shall confer upon the holder thereof the right to receive dividends as provided for in the Articles. Class C Ordinary Shares shall not be convertible into any other class of shares under any circumstances. On a winding up, each Class C Ordinary Share shall confer upon the holder thereof the right to repayment of capital in accordance with the Articles and the right to participate in the profits or surplus assets of the Company in accordance with the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Preference Shares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from time to time and without the approval of members, issue Preference Shares with such preferred or other rights, all or any of which may be greater than the rights of Ordinary Shares, as the Board of Directors may determine.</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Islands Companies Act and any rights and restrictions attaching to any class or classes of shares under and in accordance with the Articles, the directors may declare dividends or distributions out of our funds which are lawfully available for that purpose. Our Class B Ordinary Shares do not confer upon the holders thereof any rights to receive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requirements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of association, holders of Class A Ordinary Shares and Class B Ordinary Shares shall, at all times, vote together as one class on all matters submitted to a vote by the shareholders at any general meeting of the Company. At each general meeting, each shareholder who is present in person or by proxy (or, in the case of a shareholder being a corporation, by its duly authorized representative) will have one (1) vote for each Class A Ordinary Share and five hundred (500) votes for each Class B Ordinary Share which such shareholder holds. At any general meeting, a resolution put to the vote of the meeting shall be decided by a poll and not on a show of hands.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requires the affirmative vote of a simple majority of the votes attached to the Ordinary Shares cast by those shareholders entitled to vote who are present in person or by proxy (or, in the case of corporations, by their duly authorized representatives) at a duly convened and constituted general meeting, while a special resolution requires the affirmative vote of a majority of not less than two-thirds of the votes cast at such a meeting. Both ordinary resolutions and special resolutions may also be passed by a unanimous written resolution signed by all the shareholders of our company, as permitted by the Cayman Islands Companies Act and our M&amp;A. A special resolution will be required for important matters such as a change of name or making changes to our M&amp;A, as set out in the Cayman Islands Companies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 of Shares</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share capital of the Company is divided into different classes of shares, the rights attached to any class (unless otherwise provided by the terms of issue of the shares of that class) may, whether or not the Company is being wound up, be varied or abrogated:</w:t>
      </w:r>
    </w:p>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or with the approval of, the board without the consent of the holders of the shares of that class if the board determines that the variation or abrogation is not materially adverse to the interests of those members; or</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otherwise only with the consent in writing of the holders of a majority of the issued shares of that class or with the sanction of an ordinary resolution passed at a separate meeting of the holders of the shares of that class.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of issue or other rights attaching to a class of shares provide otherwise, the rights conferred on the holders of shares of any class shall not be deemed to be materially adversely varied by the creation or issue of further shares ranking pari passu with the existing shares of that class.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our shareholders may, by ordinary resolution:</w:t>
      </w:r>
    </w:p>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new shares of the amount fixed by that ordinary resolution and with the attached rights, priorities and privileges set out in that ordinary resolution;</w:t>
            </w:r>
          </w:p>
        </w:tc>
      </w:tr>
    </w:tbl>
    <w:p>
      <w:pPr>
        <w:pStyle w:val="TextBody"/>
        <w:bidi w:val="0"/>
        <w:ind w:left="960" w:right="0" w:hanging="48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 than our existing shares;</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and to any rights for the time being conferred on the shareholders holding a particular class of shares, our shareholders may, by special resolution, reduce our share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clear days’ notice specifying when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such rate fixed as the directors determine. The directors may, at their discretion, waive payment of the interest wholly or in part.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ind w:left="960" w:right="0" w:hanging="48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3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alone or jointly with any other person, whether or not that other person is a shareholder; and</w:t>
            </w:r>
          </w:p>
        </w:tc>
      </w:tr>
    </w:tbl>
    <w:p>
      <w:pPr>
        <w:pStyle w:val="TextBody"/>
        <w:bidi w:val="0"/>
        <w:ind w:left="960" w:right="0" w:hanging="48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those monies are presently payable.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directors may declare any share to be wholly or partly exempt from the lien on shares provisions of the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14 clear days of the date on which the notice is deemed to be given under the articles, such notice has not been complied 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call the directors may give to such shareholder not less than 14 clear days’ notice requiring payment and specifying the amount unpaid including any interest which may have accrued and the place where payment is to be made. The notice shall also contain a warning that if the notice is not complied with, the shares in respect of which the call is made will be liable to be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 remain liable to pay to us all monies which at the date of forfeiture were payable by him to us in respect of the shares, together with interest from the date of forfeiture until payment, but his liability shall cease if and when we receive payment in full of the unpaid amount.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in writing under the hand of a director or officer of the Company that a share has been forfeited on a specific date shall be conclusive evidence that the particular shares have been forfeited on a particular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certificate shall constitute good title to the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 or capital contributed or such other amounts required by the Cayman Islands Companies Act.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and any rights for the time being conferred on the shareholders holding a particular class of shares, we may:</w:t>
      </w:r>
    </w:p>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our option or the shareholder holding those redeemable shares, on the terms and in the manner its directors determine before the issue of those shares;</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our own shares of any class, including any redeemable shares, on such terms and in such manner as have been approved by our board of directors or by an ordinary resolution of our shareholders.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our own shares in any manner authorized by the Cayman Islands Companies Act, including out of any combination of our profits, share premium account, capital or the proceeds of a fresh issue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ordinary share complies with applicable rules of the Nasdaq, a shareholder may transfer any ordinary share to another person by completing an instrument of transfer in a common form or in a form prescribed by Nasdaq or in any other common form or form approved by the directors, executed:</w:t>
      </w:r>
    </w:p>
    <w:p>
      <w:pPr>
        <w:pStyle w:val="TextBody"/>
        <w:bidi w:val="0"/>
        <w:ind w:left="960" w:right="0" w:hanging="480"/>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23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fully paid, by or on behalf of that shareholder; and</w:t>
            </w:r>
          </w:p>
        </w:tc>
      </w:tr>
    </w:tbl>
    <w:p>
      <w:pPr>
        <w:pStyle w:val="TextBody"/>
        <w:bidi w:val="0"/>
        <w:ind w:left="960" w:right="0" w:hanging="48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unpaid or partly paid, by or on behalf of that shareholder and the transferee.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the register of members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any ordinary shares, unless:</w:t>
      </w:r>
    </w:p>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(if any) for the ordinary share to which it relates and such other evidence as our board of directors may reasonably require to show the right of the transferor to make the transfer;</w:t>
            </w:r>
          </w:p>
        </w:tc>
      </w:tr>
    </w:tbl>
    <w:p>
      <w:pPr>
        <w:pStyle w:val="TextBody"/>
        <w:bidi w:val="0"/>
        <w:ind w:left="960" w:right="0" w:hanging="48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245"/>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w:t>
            </w:r>
          </w:p>
        </w:tc>
      </w:tr>
    </w:tbl>
    <w:p>
      <w:pPr>
        <w:pStyle w:val="TextBody"/>
        <w:bidi w:val="0"/>
        <w:ind w:left="960" w:right="0" w:hanging="48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ind w:left="960" w:right="0" w:hanging="48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ordinary share transferred is fully paid and free of any lien in favor of us;</w:t>
            </w:r>
          </w:p>
        </w:tc>
      </w:tr>
    </w:tbl>
    <w:p>
      <w:pPr>
        <w:pStyle w:val="TextBody"/>
        <w:bidi w:val="0"/>
        <w:ind w:left="960" w:right="0" w:hanging="48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3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fee related to the transfer has been paid to us; and</w:t>
            </w:r>
          </w:p>
        </w:tc>
      </w:tr>
    </w:tbl>
    <w:p>
      <w:pPr>
        <w:pStyle w:val="TextBody"/>
        <w:bidi w:val="0"/>
        <w:ind w:left="960" w:right="0" w:hanging="48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20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is not to more than four joint holders.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subject to compliance with the rules of the relevant stock exchange (including as to notice), be suspended and our register of members closed at such times and for such periods as our board of directors may from time to time determine.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Cayman Islands Companies Act to inspect or obtain copies of our register of members or our corporate records (other than copies of our M&amp;A and register of mortgages and charges, and any special resolutions passed by our shareholders). Our directors have discretion under our articles of association to determine whether or not, and under what conditions, our corporate records may be inspected by our shareholders, but are not obliged to make them available to our shareholders. No shareholder (not being a director) shall have any right of inspection of any account or book or document of our company except as conferred by law or authorised by our board of directors or by an ordinary resolution of our shareholders.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Islands Companies Act to call shareholders’ annual general meetings; accordingly, we may, but shall not be obliged to, in each year hold a general meeting as an annual general meeting. Any annual general meeting held shall be held at such time and place as may be determined by our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a majority of the votes attaching to the issued and outstanding shares, specifying the purpose of the meeting and signed by each of the shareholders making the requisition. In the event that the directors do not convene such meeting for a date not later than 30 days after the date of receipt by the Company of the written requisition, those shareholders who requested the meeting may convene the general meeting themselves within 45 days after the end of such period of 30 days.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 days’ notice of a general meeting shall be given to shareholders entitled to attend and vote at such meeting. The notice shall specify the place, the day and the hour of the meeting, and the business to be conducted at the meeting. In addition, if a resolution is proposed as a special resolution, the text of that resolution shall be given to all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and with the consent of (1) in the case of the annual general meeting, all shareholders entitled to attend and vote thereat, and (2) in the case of any other general meeting, one or more shareholders holding shares representing not less than two-thirds of all votes attaching to the issued and outstanding shares carrying the right to vote at a general meeting, a general meeting may be convened on shorter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voting rights of the issued and outstanding shares carrying the right to vote at such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half an hour from the time appointed for the general meeting, or at any time during the meeting, a quorum is not present, the meeting, if convened upon the requisition of shareholders, shall be dissolved. In any other case it shall stand adjourned to the same day in the next week, at the same time and place or to such other day and at such other time and place as the directors may determine and if at such adjourned meeting a quorum is not present within fifteen (15) minutes from the time appointed for holding the meeting, the shareholders present shall be a quorum.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fourteen days or more, at least five days’ notice specifying the place, the day and the hour of the adjourned meeting shall be given in accordance with the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by a poll and not on a show of hands.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chairperson of the meeting shall be entitled to a second or casting vote.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 unless otherwise determined by our shareholders by ordinary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be entitled to such remuneration as the directors may determine.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ind w:left="960" w:right="0" w:hanging="48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articles of association, the office of a director shall be vacated forthwith if:</w:t>
      </w:r>
    </w:p>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ceases to be a director by virtue of, or becomes prohibited from being a director by reason of, an order made under any provisions of any law or enactment;</w:t>
            </w:r>
          </w:p>
        </w:tc>
      </w:tr>
    </w:tbl>
    <w:p>
      <w:pPr>
        <w:pStyle w:val="TextBody"/>
        <w:bidi w:val="0"/>
        <w:ind w:left="960" w:right="0" w:hanging="48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45"/>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becomes bankrupt or makes an arrangement or composition with his creditors generally;</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resigns or terminates his term with or without cause on not less than three months' prior notice in writing to the Company given in accordance with the terms specified in a written agreement between the Company and the director, if any;</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was only appointed as a director for a fixed term and such term expires without renewal, unless the contract with the director provides for the automatic renewal of the term and no notice of non-renewal or termination has been given in accordance with such contract;</w:t>
            </w:r>
          </w:p>
        </w:tc>
      </w:tr>
    </w:tbl>
    <w:p>
      <w:pPr>
        <w:pStyle w:val="TextBody"/>
        <w:bidi w:val="0"/>
        <w:ind w:left="960" w:right="0" w:hanging="48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23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dies or, in the opinion of a registered medical practitioner by whom he is being treated, is or becomes of unsound mind;</w:t>
            </w:r>
          </w:p>
        </w:tc>
      </w:tr>
    </w:tbl>
    <w:p>
      <w:pPr>
        <w:pStyle w:val="TextBody"/>
        <w:bidi w:val="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given notice at his last known address, signed by all of the other directors (not being less than two in number) directing his removal;</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absent (without being represented by an alternate director appointed by him) from three consecutive meetings of the board of directors without special leave of absence from the directors, and they pass a resolution that he has by reason of such absence vacated office; or</w:t>
            </w:r>
          </w:p>
        </w:tc>
      </w:tr>
    </w:tbl>
    <w:p>
      <w:pPr>
        <w:pStyle w:val="TextBody"/>
        <w:bidi w:val="0"/>
        <w:ind w:left="960" w:right="0" w:hanging="48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24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removed from office by ordinary resolution.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compensation committee and the nominating committee shall consist of at least three directors and the majority of the committee members shall be independent within the meaning of the Nasdaq corporate governance rules. The audit committee shall consist of at least three directors, all of whom shall be independent within the meaning of the Nasdaq corporate governance rules and will meet the criteria for independence set forth in Rule 10A-3 or Rule 10C-1 of the Exchange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Islands Companies Act and our M&amp;A, our business shall be managed by the directors, who may exercise all our powers. No prior act of the directors shall be invalidated by any subsequent alteration of our M&amp;A or regulation made by the company in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of directors have established an audit committee, a compensation committee, and a nominating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board or agency and delegate to it its powers and authorities for managing any of our affairs whether in the Cayman Islands or elsewhere and may appoint any persons to be members of a local board, or to be managers or agents, and may fix their remuneration.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remove any person so appointed and may revoke or vary the delegation.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in any way, whether directly or indirectly, interested in a contract or proposed contract with the company shall declare (whether by specific or general notice) the nature of their interest at a meeting of the directors. Subject to the Nasdaq rules, a director may vote in respect of any contract or proposed contract or arrangement notwithstanding that such director may be interested therein and if such director does so their vote shall be counted and such director may be counted in the quorum at any meeting of the directors at which any such contract or proposed contract or arrangement shall come before the meeting for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given to the board of directors by any director to the effect that he is a member or director of (or is otherwise interested in) any specified company or firm and is to be regarded as interested in any contract or transaction which may thereafter be made with that company or firm shall be deemed a sufficient declaration of interest in regard to any contract so made or transaction so consummated.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cases each of the directors concerned shall be entitled to vote (and be counted in the quorum) in respect of each resolution except that concerning the director’s own appointment.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 any amount standing to the credit of our reserves (including our share premium account, our capital redemption reserve and our profit and loss account), which is available for distribution.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Cayman Islands Companies Act, pass a special resolution allowing the liquidator to do either or both of the following:</w:t>
      </w:r>
    </w:p>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shareholders and those liable to contribute to the winding 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Islands Companies Act, we must keep a register of members and there should be entered therein:</w:t>
      </w:r>
    </w:p>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shareholders, a statement of the shares held by each shareholder, and of the amount paid or agreed to be considered as paid, on the shares of each shareholder;</w:t>
            </w:r>
          </w:p>
        </w:tc>
      </w:tr>
    </w:tbl>
    <w:p>
      <w:pPr>
        <w:pStyle w:val="TextBody"/>
        <w:bidi w:val="0"/>
        <w:ind w:left="960" w:right="0" w:hanging="48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shareholder; and</w:t>
            </w:r>
          </w:p>
        </w:tc>
      </w:tr>
    </w:tbl>
    <w:p>
      <w:pPr>
        <w:pStyle w:val="TextBody"/>
        <w:bidi w:val="0"/>
        <w:ind w:left="960" w:right="0" w:hanging="48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shareholder.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Cayman Islands Companies Act, the register of members of our company is prima facie evidence of the matters set out therein (that is, the register of members will raise a presumption of fact on the matters referred to above unless rebutted) and a person who has agreed to become a shareholder and who is registered in the register of members is deemed as a matter of the Cayman Islands Companies Act to be a shareholder. Furthermore, as a matter of the Cayman Islands Companies Act, the registration of any person in the register of members as holder of any shares shall be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evidence of such person having have legal title to the shares as set against its name in the register of members.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Rights of Non-resident or Foreign Shareholders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pStyle w:val="TextBody"/>
        <w:bidi w:val="0"/>
        <w:ind w:left="0" w:right="0" w:firstLine="180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History of Securities Issuances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securities issuances by us in the past three years: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issued an aggregate of 1,600,000 Class A Ordinary Shares in our initial public offering at an initial offering price of US$5.00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Companies Act is derived, to a large extent, from the older Companies Acts of England and Wales but does not follow recent United Kingdom statutory enactments, and accordingly there are significant differences between the Cayman Islands Companies Act and the current Companies Act of England and Wales. In addition, the Cayman Islands Companies Act differs from laws applicable to United States corporations and their shareholders. Set forth below is a summary of certain significant differences between the provisions of the Cayman Islands Companies Act applicable to us and the comparable laws applicable to companies incorporated in the State of Delaware in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The consent of each holder of a fixed or floating security interest of a constituent company is required unless this requirement is waived by a court in the Cayman Islands. Provided the consent of each holder of a fixed or floating security interest of a constituent company has been obtained, court approval is not required for a merger or consolidation which is effected in compliance with these statutory procedures.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dissenting shareholder of a Cayman Islands constituent company is entitled to payment of the fair value of his or her shares upon dissenting from a merger or consolidation in accordance with the statutory dissent procedures provided under the Cayman Islands Companies Act.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(i) in the case of a shareholder scheme, seventy-five per cent in value of the members or class of members, as the case may be, with whom the arrangement is to be made or (ii) in the case of a creditor scheme, a majority in number of the creditors or class of creditors with whom the arrangement is to be made who must in addition represent seventy-five per cent in value of such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ind w:left="960" w:right="0" w:hanging="48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23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Cayman Islands Companies Act.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that has been so approved unless there is evidence of fraud, bad faith or collusion.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takeover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Suits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law authorities, which would in all likelihood be of persuasive authority in the Cayman Islands, the Cayman Islands courts can be expected to follow English case law precedents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and the exceptions thereto) so that a non-controlling shareholder may be permitted to commence a class action against or derivative actions in the name of the company to challenge:</w:t>
      </w:r>
    </w:p>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 which is illegal or ultra vires with respect to the company and is therefore incapable of ratification by the shareholders;</w:t>
            </w:r>
          </w:p>
        </w:tc>
      </w:tr>
    </w:tbl>
    <w:p>
      <w:pPr>
        <w:pStyle w:val="TextBody"/>
        <w:bidi w:val="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 which, although not ultra vires, requires authorization by a qualified (or special) majority (that is, more than a simple majority) which has not been obtained; and</w:t>
            </w:r>
          </w:p>
        </w:tc>
      </w:tr>
    </w:tbl>
    <w:p>
      <w:pPr>
        <w:pStyle w:val="TextBody"/>
        <w:bidi w:val="0"/>
        <w:ind w:left="960" w:right="0" w:hanging="480"/>
        <w:jc w:val="both"/>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23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 which constitutes a “fraud on the minority” where the wrongdoers are themselves in control of the company.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M&amp;A provide that we shall indemnify each of our directors and officers against any liability incurred by a director or officer as a result of any act or failure to act in carrying out their functions other than such liability (if any) that the director or officer may incur by their own actual fraud or willful default.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or officer, however, shall be indemnified in respect of any matter arising out of his own fraud or willful default.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or officer in respect of any matter identified in above on condition that the director or officer must repay the amount paid by us to the extent that the director or officer is ultimately determined not to be entitled to be indemnified by us.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as a matter of United States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 in Our Articles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articles may discourage, delay or prevent a change in control of our company or management that shareholders may consider favorable, including provisions that authorize our board of directors to issue shares at such times and on such terms and conditions as the board of directors may decide without any further vote or action by our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Islands Companies Act, our directors may only exercise the rights and powers granted to them under our articles of association for what they believe in good faith to be in the best interests of our company and for a proper purpose.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Fiduciary Duties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Cayman Islands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M&amp;A, as amended and restated from time to time. We have the right to seek damages if a duty owed by any of our directors is breached.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general meetings shall be convened by the board of directors on the written requisition of one or more of the shareholders entitled to attend and vote at our general meetings who (together) hold not less than a majority of the votes attaching to the issued and outstanding shares that as at the date of the deposit carry the rights to vote at such general meeting, specifying the purpose of the meeting and signed by each of the shareholders making the requisition. In the event that the directors do not convene such meeting for a date not later than thirty days after the date of receipt of the written requisition, those shareholders who requested the meeting (or any of them who, together, hold at least half of the voting rights of all of them) may convene the general meeting themselves within forty-five days after the end of such period of thirty days. Our articles provide no other right to put any proposals before annual general meetings or extraordinary general meetings. As a Cayman Islands exempted company, we are not obligated by law to call shareholders’ annual general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the Cayman Islands Companies Act, our articles do not provide for cumulative voting. As a result, our shareholders are not afforded any less protections or rights on this issue than shareholders of a Delaware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As set out in our articles of association, the office of a director shall be vacated forthwith if the director (a) ceases to be a director by virtue of, or becomes prohibited from being a director by reason of, an order made under any provisions of any law or enactment, (b) becomes bankrupt or makes an arrangement or composition with his creditors generally, (c) resigns his office by notice to us, (d) was only appointed as a director for a fixed term and such term expires, (e) dies or, in the opinion of a registered medical practitioner by whom he is being treated, is or becomes of unsound mind, (f) is given notice at his last known address, signed by all of the other directors (not being less than two in number) directing his removal, (g)  is absent from three consecutive meetings of the board of directors without special leave of absence from the directors, and they pass a resolution that the director has, by reason of such absence, vacated office, or (h) is removed from office by an ordinary resolution of our shareholders.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Interested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its shareholders approve,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resulting in the person becoming an interested shareholder. This encourages any potential acquirer of a Delaware corporation to negotiate the terms of any acquisition transaction with the target’s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Companies Act has no comparable statute. As a result, we cannot avail ourselves of the types of protections afforded by the Delaware business combination statute. However, although the Cayman Islands Companies Act does not regulate transactions between a company and its significant shareholders, under Cayman Islands law such transactions must be entered into bona fide in the best interests of the company and for a proper corporate purpose and not with the effect of constituting a fraud on the minority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Islands Companies Act, the Company may be wound up by a special resolution of our shareholders or, if our company is unable to pay its debts as they fall due, by an ordinary resolution of our shareholders in general meeting. In addition, a company may be wound up by an order of the courts of the Cayman Islands. The court has authority to order winding up in a number of specified circumstances including where it is, in the opinion of the court, just and equitable to do so. Under our articles of association, the directors of the Company may present a winding up petition on behalf of the Company without the sanction of a resolution of shareholders passed at a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 of Rights Attaching to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the Cayman Islands Companies Act and our articles, if our share capital is divided into more than one class of shares, the rights attaching to any class of share (unless otherwise provided by the terms of issue of the shares, and subject to any rights or restrictions, of that class) may be varied either by, or with the approval of, the directors without the consent of the holders of the shares of the affected class if the directors determine that the variation is not materially adverse to the interests of those shareholders or, otherwise, with the consent in writing of the holders of not less than a majority of the issued shares of that class, or with the sanction of an ordinary resolution passed by the holders of shares of the class present in person or by proxy at a separate meeting of the holders of shares of that class.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Governing Documents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certificate of incorporation may be amended only if adopted and declared advisable by the board of directors and approved by a majority of the outstanding shares entitled to vote. The bylaws may be amended with the approval of a majority of the outstanding shares entitled to vote. If so, provided in the certificate of incorporation, they may also be amended by the board of directors. Under the Cayman Islands Companies Act, our articles may only be amended by special resolution of our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Anti-money Laundering —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may be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(as amended) of the Cayman Islands) or the Financial Reporting Authority of the Cayman Islands, pursuant to the Proceeds of Crime Act (as amended), if the disclosure relates to criminal conduct or money laundering or (ii) to a police constable or a nominated officer (pursuant to the Terrorism Act (as amended) of the Cayman Islands) or the Financial Reporting Authority, pursuant to the Terrorism Act (as amended),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Global Market under the symbol “NNNN”.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 is Transhare Corporation.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DESCRIPTION OF WARRANTS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under this prospectus, we will describe the particular terms of any series of warrants that we may offer in more detail in the applicable prospectus supplement. If we indicate in the prospectus supplement, the terms of any warrants offered under that prospectus supplement may differ from the terms described below. However, no prospectus supplement shall fundamentally change the terms that are set forth in this prospectus or offer a security that is not registered and described in this prospectus at the time of its effectiveness. Specific warrant agreements will contain additional important terms and provisions and will be incorporated by reference as an exhibit to the registration statement that includes this prospectus or as an exhibit to a report filed under the Exchange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that entitle the holder to purchase ordinary shares, debt securities or any combination thereof. We may issue warrants independently or together with ordinary shares, debt securities or any combination thereof, and the warrants may be attached to or separate from these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offering price and aggregate number of warrants offered;</w:t>
            </w:r>
          </w:p>
        </w:tc>
      </w:tr>
    </w:tbl>
    <w:p>
      <w:pPr>
        <w:pStyle w:val="TextBody"/>
        <w:bidi w:val="0"/>
        <w:jc w:val="both"/>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for which the warrants may be purchased, if not United States dollars;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securities with which the warrants are issued and the number of warrants issued with each such security or each principal amount of such security;</w:t>
            </w:r>
          </w:p>
        </w:tc>
      </w:tr>
    </w:tbl>
    <w:p>
      <w:pPr>
        <w:pStyle w:val="TextBody"/>
        <w:bidi w:val="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related securities will be separately transferable;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ordinary shares, the number of ordinary shares purchasable upon the exercise of one warrant and the price at which these shares may be purchased upon such exercise;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debt securities, the principal amount of debt securities purchasable upon exercise of one warrant and the price at, and currency, if not United States dollars, in which, this principal amount of debt securities may be purchased upon such exercise;</w:t>
            </w:r>
          </w:p>
        </w:tc>
      </w:tr>
    </w:tbl>
    <w:p>
      <w:pPr>
        <w:pStyle w:val="TextBody"/>
        <w:bidi w:val="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any merger, consolidation, sale or other disposition of our business on the warrant agreement and the warrants;</w:t>
            </w:r>
          </w:p>
        </w:tc>
      </w:tr>
    </w:tbl>
    <w:p>
      <w:pPr>
        <w:pStyle w:val="TextBody"/>
        <w:bidi w:val="0"/>
        <w:spacing w:before="0" w:after="0"/>
        <w:jc w:val="left"/>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of any rights to redeem or call the warrants;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changes to or adjustments in the exercise price or number of securities issuable upon exercise of the warrants;</w:t>
            </w:r>
          </w:p>
        </w:tc>
      </w:tr>
    </w:tbl>
    <w:p>
      <w:pPr>
        <w:pStyle w:val="TextBody"/>
        <w:bidi w:val="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the right to exercise the warrants will commence and expire;</w:t>
            </w:r>
          </w:p>
        </w:tc>
      </w:tr>
    </w:tbl>
    <w:p>
      <w:pPr>
        <w:pStyle w:val="TextBody"/>
        <w:bidi w:val="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manner in which the warrant agreement and warrants may be modified;</w:t>
            </w:r>
          </w:p>
        </w:tc>
      </w:tr>
    </w:tbl>
    <w:p>
      <w:pPr>
        <w:pStyle w:val="TextBody"/>
        <w:bidi w:val="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income tax consequences of holding or exercising the warrants;</w:t>
            </w:r>
          </w:p>
        </w:tc>
      </w:tr>
    </w:tbl>
    <w:p>
      <w:pPr>
        <w:pStyle w:val="TextBody"/>
        <w:bidi w:val="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securities issuable upon exercise of the warrants; and</w:t>
            </w:r>
          </w:p>
        </w:tc>
      </w:tr>
    </w:tbl>
    <w:p>
      <w:pPr>
        <w:pStyle w:val="TextBody"/>
        <w:bidi w:val="0"/>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17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warrants.</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debt securities, the right to receive payments of principal of, or premium, if any, or interest on, the debt securities purchasable upon exercise or to enforce covenants in the applicable indenture; or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our ordinary shares, the right to receive dividends, if any, or, payments upon our liquidation, dissolution or winding up or to exercise voting rights, if 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 Will Not Be Qualified Under Trust Indenture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agreement will be qualified as an indenture, and no warrant agent will be required to qualify as a trustee, under the Trust Indenture Act. Therefore, holders of warrants issued under a warrant agreement will not have the protection of the Trust Indenture Act with respect to their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Warrant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agreements may permit us and the warrant agent, if any, without the consent of the warrant holders, to supplement or amend the agreement in the following circumstances:</w:t>
      </w:r>
    </w:p>
    <w:p>
      <w:pPr>
        <w:pStyle w:val="TextBody"/>
        <w:bidi w:val="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cure any ambiguity;</w:t>
            </w:r>
          </w:p>
        </w:tc>
      </w:tr>
    </w:tbl>
    <w:p>
      <w:pPr>
        <w:pStyle w:val="TextBody"/>
        <w:bidi w:val="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or supplement any provision which may be defective or inconsistent with any other provisions; or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add new provisions regarding matters or questions that we and the warrant agent may deem necessary or desirable and which do not adversely affect the interests of the warrant holders.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DESCRIPTION OF DEBT SECURITIES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debt securities mean the debentures, notes, bonds and other evidences of indebtedness, which may or may not be converted into our ordinary shares, that we may issue from time to time. The debt securities may be either secured or unsecured and will either be senior debt securities or subordinated debt securities. The debt securities may be issued under one or more separate indentures between us and a trustee to be specified in an accompanying prospectus supplement. Senior debt securities will be issued under a new senior indenture. Subordinated debt securities will be issued under a subordinated indenture. Together, the senior indentures and the subordinated indentures are sometimes referred to in this prospectus as the indentures. This prospectus, together with the applicable prospectus supplement, will describe the terms of a particular series of 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the debt securities will be direct unsecured obligations of Anbio Biotechnology. The senior debt securities will rank equally with any of our other senior and unsubordinated debt. The subordinated debt securities will be subordinate and junior in right of payment to any senior indebtedness.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the indentures do not limit the aggregate principal amount of debt securities that we may issue and provide that we may issue debt securities from time to time at par or at a discount, and in the case of the new indentures, if any, in one or more series, with the same or various maturities.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describe the terms relating to the specific series of debt securities being offered. These terms will include some or all of the following:</w:t>
      </w:r>
    </w:p>
    <w:p>
      <w:pPr>
        <w:pStyle w:val="TextBody"/>
        <w:bidi w:val="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securities and whether they are subordinated debt securities or senior debt securities;</w:t>
            </w:r>
          </w:p>
        </w:tc>
      </w:tr>
    </w:tbl>
    <w:p>
      <w:pPr>
        <w:pStyle w:val="TextBody"/>
        <w:bidi w:val="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the debt securities;</w:t>
            </w:r>
          </w:p>
        </w:tc>
      </w:tr>
    </w:tbl>
    <w:p>
      <w:pPr>
        <w:pStyle w:val="TextBody"/>
        <w:bidi w:val="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issue additional debt securities of the same series;</w:t>
            </w:r>
          </w:p>
        </w:tc>
      </w:tr>
    </w:tbl>
    <w:p>
      <w:pPr>
        <w:pStyle w:val="TextBody"/>
        <w:bidi w:val="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we will sell the debt securities;</w:t>
            </w:r>
          </w:p>
        </w:tc>
      </w:tr>
    </w:tbl>
    <w:p>
      <w:pPr>
        <w:pStyle w:val="TextBody"/>
        <w:bidi w:val="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 or dates of the debt securities on which principal will be payable;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of interest, if any, which may be fixed or variable, at which the debt securities will bear interest, or the method of determining such rate or rates, if any;</w:t>
            </w:r>
          </w:p>
        </w:tc>
      </w:tr>
    </w:tbl>
    <w:p>
      <w:pPr>
        <w:pStyle w:val="TextBody"/>
        <w:bidi w:val="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from which any interest will accrue or the method by which such date or dates will be determined;</w:t>
            </w:r>
          </w:p>
        </w:tc>
      </w:tr>
    </w:tbl>
    <w:p>
      <w:pPr>
        <w:pStyle w:val="TextBody"/>
        <w:bidi w:val="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price at which the debt securities may be converted;</w:t>
            </w:r>
          </w:p>
        </w:tc>
      </w:tr>
    </w:tbl>
    <w:p>
      <w:pPr>
        <w:pStyle w:val="TextBody"/>
        <w:bidi w:val="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convert the debt securities will commence and the date on which the right will expire;</w:t>
            </w:r>
          </w:p>
        </w:tc>
      </w:tr>
    </w:tbl>
    <w:p>
      <w:pPr>
        <w:pStyle w:val="TextBody"/>
        <w:bidi w:val="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debt securities that may be converted at any one time;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 if any, to extend the interest payment periods and the duration of any such deferral period, including the maximum consecutive period during which interest payment periods may be extended;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we will pay interest on the debt securities and the regular record date for determining who is entitled to the interest payable on any interest payment date;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indenture;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possess the option to do so, the periods within which and the prices at which we may redeem the debt securities, in whole or in part, pursuant to optional redemption provisions, and the other terms and conditions of any such provisions;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obligation,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the debt securities will be issued, if other than denominations of $1,000 and integral multiples of $1,000;</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or methods of determining the portion, of the principal amount of the debt securities which we must pay upon the acceleration of the maturity of the debt securities in connection with an event of default (as described below), if other than the full principal amount;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currencies or currency unit in which we will pay the principal of (and premium, if any) or interest, if any, on the debt securities, if not United States dollars;</w:t>
            </w:r>
          </w:p>
        </w:tc>
      </w:tr>
    </w:tbl>
    <w:p>
      <w:pPr>
        <w:pStyle w:val="TextBody"/>
        <w:bidi w:val="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if any, granting special rights to holders of the debt securities upon the occurrence of specified events;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tc>
      </w:tr>
    </w:tbl>
    <w:p>
      <w:pPr>
        <w:pStyle w:val="TextBody"/>
        <w:bidi w:val="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 on our ability to incur debt, redeem shares, sell our assets or other restrictions;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application, if any, of the terms of the indenture relating to defeasance and covenant defeasance (which terms are described below) to the debt securities;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subordination provisions summarized below or different subordination provisions will apply to the debt securities;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upon which the holders may convert or exchange the debt securities into or for our ordinary shares or other securities or property;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any of the debt securities will be issued in global form and, if so, the terms and conditions upon which global debt securities may be exchanged for certificated debt securities;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change in the right of the trustee or the requisite holders of debt securities to declare the principal amount thereof due and payable because of an event of default;</w:t>
            </w:r>
          </w:p>
        </w:tc>
      </w:tr>
    </w:tbl>
    <w:p>
      <w:pPr>
        <w:pStyle w:val="TextBody"/>
        <w:bidi w:val="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depository for global or certificated debt securities;</w:t>
            </w:r>
          </w:p>
        </w:tc>
      </w:tr>
    </w:tbl>
    <w:p>
      <w:pPr>
        <w:pStyle w:val="TextBody"/>
        <w:bidi w:val="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special tax implications of the debt securities;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foreign tax consequences applicable to the debt securities, including any debt securities denominated and made payable, as described in the prospectus supplements, in foreign currencies, or units based on or related to foreign currencies;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trustees, authenticating or paying agents, transfer agents or registrars, or other agents with respect to the debt securities;</w:t>
            </w:r>
          </w:p>
        </w:tc>
      </w:tr>
    </w:tbl>
    <w:p>
      <w:pPr>
        <w:pStyle w:val="TextBody"/>
        <w:bidi w:val="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debt securities not inconsistent with the provisions of the indentures, as amended or supplemented;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of or any premium or interest on any debt securities of the series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the principal amount of any securities of the series which shall be payable upon declaration of acceleration of the maturity of the debt securities pursuant to the applicable indenture if other than the entire principal amount;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amount payable at the stated maturity of any debt security of the series will not be determinable as of any one or more dates prior to the stated maturity, the amount which shall be deemed to be the principal amount of such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debt securities will not be listed on any securities exchange and will be issued in fully-registered form without coupons.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sold at a substantial discount below their stated principal amount, bearing no interest or interest at a rate which at the time of issuance is below market rates. The applicable prospectus supplement will describe the federal income tax consequences and special considerations applicable to any such debt securities. The debt securities may also be issued as indexed securities or securities denominated in foreign currencies, currency units or composite currencies,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entitle the holder to purchase, in exchange for the extinguishment of debt, an amount of securities at a conversion price that will be stated in the debt securities. If such debt securities are convertible, unless otherwise specified in a prospectus supplement, the debt securities will be convertible at any time up to the close of business on the expiration date set forth in the terms of such debt securities. After the close of business on the expiration date, the debt securities not converted will be paid in accordance with their terms.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offering of subordinated debt securities will describe the specific subordination provisions. However, unless otherwise noted in the prospectus supplement, subordinated debt securities will be subordinate and junior in right of payment to any existing senior indebtedness.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under the subordinated indenture, “senior indebtedness” means all amounts due on obligations in connection with any of the following, whether outstanding at the date of execution of the subordinated indenture, or thereafter incurred or created: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of (and premium, if any) and interest due on our indebtedness for borrowed money and indebtedness evidenced by bonds, notes, debentures or similar instruments or letters of credit (or reimbursement agreements in respect thereof);</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capital lease obligations or attributable debt (as defined in the indentures) in respect of sale and leaseback transactions;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obligations representing the balance deferred and unpaid of the purchase price of any property or services, which purchase price is due more than six months after the date of placing such property in service or taking delivery and title thereto, except any such balance that constitutes an accrued expense or trade payable or any similar obligation to trade creditors;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obligations in respect of interest rate swap agreements (whether from fixed to floating or from floating to fixed), interest rate cap agreements and interest rate collar agreements; other agreements or arrangements designed to manage interest rates or interest rate risk; and other agreements or arrangements designed to protect against fluctuations in currency exchange rates or commodity prices;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obligations of the types referred to above of other persons for the payment of which we are responsible or liable as obligor, guarantor or otherwise;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obligations of the types referred to above of other persons secured by any lien on any property or asset of ours (whether or not such obligation is assumed by us).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senior indebtedness does not include: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indebtedness which expressly provides that such indebtedness shall not be senior in right of payment to the subordinated debt securities, or that such indebtedness shall be subordinated to any other of our indebtedness, unless such indebtedness expressly provides that such indebtedness shall be senior in right of payment to the subordinated debt securities;</w:t>
            </w:r>
          </w:p>
        </w:tc>
      </w:tr>
    </w:tbl>
    <w:p>
      <w:pPr>
        <w:pStyle w:val="TextBody"/>
        <w:bidi w:val="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obligations to our subsidiaries or of a subsidiary guarantor to us or any other of our other subsidiaries;</w:t>
            </w:r>
          </w:p>
        </w:tc>
      </w:tr>
    </w:tbl>
    <w:p>
      <w:pPr>
        <w:pStyle w:val="TextBody"/>
        <w:bidi w:val="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liability for federal, state, local or other taxes owed or owing by us or any subsidiary guarantor,</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accounts payable or other liability to trade creditors arising in the ordinary course of business (including guarantees thereof or instruments evidencing such liabilities);</w:t>
            </w:r>
          </w:p>
        </w:tc>
      </w:tr>
    </w:tbl>
    <w:p>
      <w:pPr>
        <w:pStyle w:val="TextBody"/>
        <w:bidi w:val="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obligations with respect to any capital stock;</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indebtedness incurred in violation of the indenture, provided that indebtedness under our credit facilities will not cease to be senior indebtedness under this bullet point if the lenders of such indebtedness obtained an officer’s certificate as of the date of incurrence of such indebtedness to the effect that such indebtedness was permitted to be incurred by the indenture; and</w:t>
            </w:r>
          </w:p>
        </w:tc>
      </w:tr>
    </w:tbl>
    <w:p>
      <w:pPr>
        <w:pStyle w:val="TextBody"/>
        <w:bidi w:val="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indebtedness in respect of the subordinated debt securities.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indebtedness shall continue to be senior indebtedness and be entitled to the benefits of the subordination provisions irrespective of any amendment, modification or waiver of any term of such senior indebtedness.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in an accompanying prospectus supplement, if we default in the payment of any principal of (or premium, if any) or interest on any senior indebtedness when it becomes due and payable, whether at maturity or at a date fixed for prepayment or by declaration or otherwise, then, unless and until such default is cured or waived or ceases to exist, we will make no direct or indirect payment (in cash, property, securities, by set-off or otherwise) in respect of the principal of or interest on the subordinated debt securities or in respect of any redemption, retirement, purchase or other requisition of any of the subordinated 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acceleration of the maturity of any subordinated debt securities, the holders of all senior debt securities outstanding at the time of such acceleration, subject to any security interest, will first be entitled to receive payment in full of all amounts due on the senior debt securities before the holders of the subordinated debt securities will be entitled to receive any payment of principal (and premium, if any) or interest on the subordinated 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occurs, we will pay in full all senior indebtedness before we make any payment or distribution under the subordinated debt securities, whether in cash, securities or other property, to any holder of subordinated debt securities: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dissolution or winding-up or liquidation or reorganization of Anbio Biotechnology, whether voluntary or involuntary or in bankruptcy,</w:t>
            </w:r>
          </w:p>
        </w:tc>
      </w:tr>
    </w:tbl>
    <w:p>
      <w:pPr>
        <w:pStyle w:val="TextBody"/>
        <w:bidi w:val="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insolvency or receivership;</w:t>
            </w:r>
          </w:p>
        </w:tc>
      </w:tr>
    </w:tbl>
    <w:p>
      <w:pPr>
        <w:pStyle w:val="TextBody"/>
        <w:bidi w:val="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general assignment by us for the benefit of creditors; or</w:t>
            </w:r>
          </w:p>
        </w:tc>
      </w:tr>
    </w:tbl>
    <w:p>
      <w:pPr>
        <w:pStyle w:val="TextBody"/>
        <w:bidi w:val="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marshaling of our assets or liabilities.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any payment or distribution under the subordinated debt securities, whether in cash, securities or other property,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has been paid in full. If any payment or distribution under the subordinated debt securities is received by the trustee of any subordinated debt securities in contravention of any of the terms of the subordinated indenture and before all the senior indebtedness has been paid in full, such payment or distribution will be received in trust for the benefit of, and paid over or delivered and transferred to, the holders of the senior indebtedness at the time outstanding in accordance with the priorities then existing among such holders for application to the payment of all senior indebtedness remaining unpaid to the extent necessary to pay all such senior indebtedness in full.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indenture does not limit the issuance of additional senior indebtedness.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Notice and Waiver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accompanying prospectus supplement states otherwise, the following shall constitute “events of default” under the indentures with respect to each series of debt securities:</w:t>
      </w:r>
    </w:p>
    <w:p>
      <w:pPr>
        <w:pStyle w:val="TextBody"/>
        <w:bidi w:val="0"/>
        <w:jc w:val="both"/>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default for 30 consecutive days in the payment when due of interest on the debt securities;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default in the payment when due (at maturity, upon redemption or otherwise) of the principal of, or premium, if any, on the debt securities;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observe or perform any other of our covenants or agreements with respect to such debt securities for 60 days after we receive notice of such failure;</w:t>
            </w:r>
          </w:p>
        </w:tc>
      </w:tr>
    </w:tbl>
    <w:p>
      <w:pPr>
        <w:pStyle w:val="TextBody"/>
        <w:bidi w:val="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events of bankruptcy, insolvency or reorganization Anbio Biotechnology; or</w:t>
            </w:r>
          </w:p>
        </w:tc>
      </w:tr>
    </w:tbl>
    <w:p>
      <w:pPr>
        <w:pStyle w:val="TextBody"/>
        <w:bidi w:val="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event of default provided with respect to securities of that series.</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accompanying prospectus supplement states otherwise, if an event of default with respect to any debt securities of any series outstanding under either of the indentures shall occur and be continuing, the trustee under such indenture or the holders of at least 25% (or at least 10%, in respect of a remedy (other than acceleration) for certain events of default relating to the payment of dividends) in aggregate principal amount of the debt securities of that series outstanding may declare, by notice as provided in the applicable indenture, the principal amount (or such lesser amount as may be provided for in the debt securities of that series) of all the debt securities of that series outstanding to be due and payable immediately; provided that, in the case of an event of default involving certain events in bankruptcy, insolvency or reorganization, acceleration is automatic; and, provided further, that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securities, an amount less than the principal amount thereof will become due and payable. Reference is made to the prospectus supplement relating to any original issue discount securities for the particular provisions relating to acceleration of maturity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past default under either indenture with respect to debt securities of any series, and any event of default arising therefrom, may be waived by the holders of a majority in principal amount of all debt securities of such series outstanding under such indenture, except in the case of (1) default in the payment of the principal of (or premium, if any) or interest on any debt securities of such series or (2) certain events of default relating to the payment of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required within 90 days after the occurrence of a default (which is known to the trustee and is continuing), with respect to the debt securities of any series (without regard to any grace period or notice requirements), to give to the holders of the debt securities of such series notice of such default.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subject to its duties during default to act with the required standard of care, may require indemnification by the holders of the debt securities of any series with respect to which a default has occurred before proceeding to exercise any right or power under the indentures at the request of the holders of the debt securities of such series. Subject to such right of indemnification and to certain other limitations, the holders of a majority in principal amount of the outstanding debt securities of any series under either indenture may direct the time, method and place of conducting any proceeding for any remedy available to the trustee, or exercising any trust or power conferred on the trustee with respect to the debt securities of such series, provided that such direction shall not be in conflict with any rule of law or with the applicable indenture and the trustee may take any other action deemed proper by the trustee which is not inconsistent with such direction.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 debt security of any series may institute any action against us under either of the indentures (except actions for payment of overdue principal of (and premium, if any) or interest on such debt security or for the conversion or exchange of such debt security in accordance with its terms) unless (1) the holder has given to the trustee written notice of an event of default and of the continuance thereof with respect to the debt securities of such series specifying an event of default, as required under the applicable indenture, (2) the holders of at least 25% in aggregate principal amount of the debt securities of that series then outstanding under such indenture shall have requested the trustee to institute such action and offered to the trustee indemnity reasonably satisfactory to it against the costs, expenses and liabilities to be incurred in compliance with such request; (3) the trustee shall not have instituted such action within 60 days of such request and (4) no direction inconsistent with such written request has been given to the trustee during such 60-day period by the holders of a majority in principal amount of the debt securities of that series. We are required to furnish annually to the trustee statements as to our compliance with all conditions and covenants under each 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Defeasance and Covenant Defeasance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discharge or defease our obligations under the indenture as set forth below, unless otherwise indicated in the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discharge certain obligations to holders of any series of debt securities issued under either the senior indenture or the subordinated indenture which have not already been delivered to the trustee for cancellation by irrevocably depositing with the trustee money in an amount sufficient to pay and discharge the entire indebtedness on such debt securities not previously delivered to the trustee for cancellation, for principal and any premium and interest to the date of such deposit (in the case of debt securities which have become due and payable) or to the stated maturity or redemption date, as the case may be, and we or, if applicable, any guarantor, have paid all other sums payable under the applicable 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indicated in the applicable prospectus supplement, we may elect either (1) to defease and be discharged from any and all obligations with respect to the debt securities of or within any series (except in all cases as otherwise provided in the relevant indenture) (“legal defeasance”) or (2) to be released from our obligations with respect to certain covenants applicable to the debt securities of or within any series (“covenant defeasance”), upon the deposit with the relevant indenture trustee, in trust for such purpose, of money and/or government obligations which through the payment of principal and interest in accordance with their terms will provide money in an amount sufficient to pay the principal of (and premium, if any) or interest on such debt securities to maturity or redemption, as the case may be, and any mandatory sinking fund or analogous payments thereon. As a condition to legal defeasance or covenant defeasance, we must deliver to the trustee an opinion of counsel to the effect that the holders of such debt securities will not recognize income, gain or loss for federal income tax purposes as a result of such legal defeasance or covenant defeasance and will be subject to federal income tax on the same amounts and in the same manner and at the same times as would have been the case if such legal defeasance or covenant defeasance had not occurred. Such opinion of counsel, in the case of legal defeasance under clause (i) above, must refer to and be based upon a ruling of the Internal Revenue Service or a change in applicable federal income tax law occurring after the date of the relevant indenture. In addition, in the case of either legal defeasance or covenant defeasance, we shall have delivered to the trustee (1) if applicable, an officer’s certificate to the effect that the relevant debt securities exchange(s) have informed us that neither such debt securities nor any other debt securities of the same series, if then listed on any securities exchange, will be delisted as a result of such deposit and (2) an officer’s certificate and an opinion of counsel, each stating that all conditions precedent with respect to such legal defeasance or covenant defeasance have been complied 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defeasance option with respect to such debt securities notwithstanding our prior exercise of our covenant defeasance option.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indentures, unless an accompanying prospectus supplement states otherwise, we and the applicable trustee may supplement the indentures for certain purposes which would not materially adversely affect the interests or rights of the holders of debt securities of a series without the consent of those holders. We and the applicable trustee may also modify the indentures or any supplemental indenture in a manner that affects the interests or rights of the holders of debt securities with the consent of the holders of at least a majority in aggregate principal amount of the outstanding debt securities of each affected series issued under the indenture. However, the indentures require the consent of each holder of debt securities that would be affected by any modification which would:</w:t>
      </w:r>
    </w:p>
    <w:p>
      <w:pPr>
        <w:pStyle w:val="TextBody"/>
        <w:bidi w:val="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principal amount of debt securities whose holders must consent to an amendment, supplement or waiver;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principal of or change the fixed maturity of any debt security or, except as provided in any prospectus supplement, alter or waive any of the provisions with respect to the redemption of the debt securities;</w:t>
            </w:r>
          </w:p>
        </w:tc>
      </w:tr>
    </w:tbl>
    <w:p>
      <w:pPr>
        <w:pStyle w:val="TextBody"/>
        <w:bidi w:val="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170"/>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rate of or change the time for payment of interest, including default interest, on any debt security;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waive a default or event of default in the payment of principal of or interest or premium, if any, on, the debt securities (except a rescission of acceleration of the debt securities by the holders of at least a majority in aggregate principal amount of the then outstanding debt securities and a waiver of the payment default that resulted from such acceleration);</w:t>
            </w:r>
          </w:p>
        </w:tc>
      </w:tr>
    </w:tbl>
    <w:p>
      <w:pPr>
        <w:pStyle w:val="TextBody"/>
        <w:bidi w:val="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debt security payable in money other than that stated in the debt securities;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change in the provisions of the applicable indenture relating to waivers of past defaults or the rights of holders of the debt securities to receive payments of principal of, or interest or premium, if any, on, the debt securities;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waive a redemption payment with respect to any debt security (except as otherwise provided in the applicable prospectus supplement);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in connection with an offer by us to purchase all debt securities, (1) waive certain events of default relating to the payment of dividends or (2) amend certain covenants relating to the payment of dividends and the purchase or redemption of certain equity interests;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change to the subordination or ranking provisions of the indenture or the related definitions that adversely affect the rights of any holder; or</w:t>
            </w:r>
          </w:p>
        </w:tc>
      </w:tr>
    </w:tbl>
    <w:p>
      <w:pPr>
        <w:pStyle w:val="TextBody"/>
        <w:bidi w:val="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change in the preceding amendment and waiver provisions.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permit the holders of at least a majority in aggregate principal amount of the outstanding debt securities of any series issued under the indenture which is affected by the modification or amendment to waive our compliance with certain covenants contained in the indentures.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payment of interest on a debt security on any interest payment date will be made to the person in whose name a debt security is registered at the close of business on the record date for the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principal, interest and premium on the debt securities of a particular series will be payable at the office of such paying agent or paying agents as we may designate for such purpose from time to time. Notwithstanding the foregoing, at our option, payment of any interest may be made by check mailed to the address of the person entitled thereto as such address appears in the security register.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a paying agent designated by us will act as paying agent for payments with respect to debt securities of each series. All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paid by us to a paying agent for the payment of the principal, interest or premium on any debt security which remain unclaimed at the end of two years after such principal, interest or premium has become due and payable will be repaid to us upon request, and the holder of such debt security thereafter may look only to us for payment thereof.</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Denominations, Registrations and Transfer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accompanying prospectus supplement states otherwise, debt securities will be represented by one or more global certificates registered in the name of a nominee for The Depository Trust Company, or DTC. In such case, each holder’s beneficial interest in the global securities will be shown on the records of DTC and transfers of beneficial interests will only be effected through DTC’s records.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debt securities may only exchange a beneficial interest in a global security for certificated securities registered in the holder’s name if:</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deliver to the trustee notice from DTC that it is unwilling or unable to continue to act as depository or that it is no longer a clearing agency registered under the Exchange Act and, in either case, a successor depositary is not appointed by us within 120 days after the date of such notice from DTC;</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 our sole discretion determine that the debt securities (in whole but not in part) should be exchanged for definitive debt securities and deliver a written notice to such effect to the trustee; or</w:t>
            </w:r>
          </w:p>
        </w:tc>
      </w:tr>
    </w:tbl>
    <w:p>
      <w:pPr>
        <w:pStyle w:val="TextBody"/>
        <w:bidi w:val="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has occurred and is continuing a default or event of default with respect to the debt securities.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debt securities are issued in certificated form, they will only be issued in the minimum denomination specified in the accompanying prospectus supplement and integral multiples of such denomination. Transfers and exchanges of such debt securities will only be permitted in such minimum denomination. Transfers of debt securities in certificated form may be registered at the trustee’s corporate office or at the offices of any paying agent or trustee appointed by us under the indentures. Exchanges of debt securities for an equal aggregate principal amount of debt securities in different denominations may also be made at such locations.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debt securities will be governed by, and construed in accordance with, the laws of the State of New York, without regard to its principles of conflicts of laws, except to the extent the Trust Indenture Act is applicable or as otherwise agreed to by the parties thereto.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trustees under the indentures will be named in any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describe the terms, if any, on which a series of debt securities may be convertible into or exchangeable for our ordinary shares or other debt securities. These terms will include provisions as to whether conversion or exchange is mandatory, at the option of the holder or at our option. These provisions may allow or require the number of shares of our ordinary shares or other securities to be received by the holders of such series of debt securities to be adjusted. Any such conversion or exchange will comply with applicable Cayman Islands law and our amended and restated memorandum and articles of association.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DESCRIPTION OF UNITS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comprising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or occurrence.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and</w:t>
            </w:r>
          </w:p>
        </w:tc>
      </w:tr>
    </w:tbl>
    <w:p>
      <w:pPr>
        <w:pStyle w:val="TextBody"/>
        <w:bidi w:val="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depository arrangements relating to such units.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DESCRIPTION OF SHARE PURCHASE CONTRACTS AND SHARE PURCHASE UNITS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 purchase contracts, including contracts obligating holders to purchase from us, and obligating us to sell to the holders, a specified number of ordinary shares or other securities registered hereunder at a future date or dates, which we refer to in this prospectus as “share purchase contracts.” The price per share of the securities and the number of shares of the securities may be fixed at the time the share purchase contracts are issued or may be determined by reference to a specific formula set forth in the share purchase contracts.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contracts may be issued separately or as part of units consisting of a share purchase contract and debt securities, warrants, other securities registered hereunder, which we refer to herein as “share purchase units.” The share purchase contracts may require holders to secure their obligations under the share purchase contracts in a specified manner. The share purchase contracts also may require us to make periodic payments to the holders of the share purchase units or vice versa, and those payments may be unsecured or refunded on some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contracts, and, if applicable, collateral or depositary arrangements, relating to the share purchase contracts or share purchase units, will be filed with the SEC in connection with the offering of share purchase contracts or share purchase units. The prospectus supplement relating to a particular issue of share purchase contracts or share purchase units will describe the terms of those share purchase contracts or share purchase units, including the following:</w:t>
      </w:r>
    </w:p>
    <w:p>
      <w:pPr>
        <w:pStyle w:val="TextBody"/>
        <w:bidi w:val="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material tax considerations; and</w:t>
            </w:r>
          </w:p>
        </w:tc>
      </w:tr>
    </w:tbl>
    <w:p>
      <w:pPr>
        <w:pStyle w:val="TextBody"/>
        <w:bidi w:val="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information we think is important about the share purchase contracts or the share purchase units.</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ordinary shares that we may offer to our securityholders.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securityholders entitled to the rights distribution;</w:t>
            </w:r>
          </w:p>
        </w:tc>
      </w:tr>
    </w:tbl>
    <w:p>
      <w:pPr>
        <w:pStyle w:val="TextBody"/>
        <w:bidi w:val="0"/>
        <w:spacing w:before="0" w:after="0"/>
        <w:ind w:left="0" w:right="0" w:hanging="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number of ordinary shares purchasable upon exercise of the rights;</w:t>
            </w:r>
          </w:p>
        </w:tc>
      </w:tr>
    </w:tbl>
    <w:p>
      <w:pPr>
        <w:pStyle w:val="TextBody"/>
        <w:bidi w:val="0"/>
        <w:spacing w:before="0" w:after="0"/>
        <w:ind w:left="0" w:right="0" w:hanging="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bl>
    <w:p>
      <w:pPr>
        <w:pStyle w:val="TextBody"/>
        <w:bidi w:val="0"/>
        <w:spacing w:before="0" w:after="0"/>
        <w:ind w:left="0" w:right="0" w:hanging="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bl>
    <w:p>
      <w:pPr>
        <w:pStyle w:val="TextBody"/>
        <w:bidi w:val="0"/>
        <w:spacing w:before="0" w:after="0"/>
        <w:ind w:left="0" w:right="0" w:hanging="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bl>
    <w:p>
      <w:pPr>
        <w:pStyle w:val="TextBody"/>
        <w:bidi w:val="0"/>
        <w:spacing w:before="0" w:after="0"/>
        <w:ind w:left="0" w:right="0" w:hanging="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tax considerations.</w:t>
            </w:r>
          </w:p>
        </w:tc>
      </w:tr>
    </w:tbl>
    <w:p>
      <w:pPr>
        <w:pStyle w:val="TextBody"/>
        <w:bidi w:val="0"/>
        <w:spacing w:before="0" w:after="0"/>
        <w:ind w:left="0" w:right="0" w:hanging="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such subscription rights are transferable;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the material Cayman Islands or United States federal income tax considerations applicable to the issuance or exercise of such subscription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rights, including terms, procedures and limitations relating to the exchange and exercise of the subscription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subscription rights include an over-subscription privilege with respect to unsubscribed securities;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material terms of any standby underwriting agreement or other arrangement entered into by us in connection with the rights offering.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debt securities or ordinary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 xml:space="preserve">ENFORCEABILITY OF CIVIL LIABILITIES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because of certain benefits associated with being a Cayman Islands exempted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than the United States and provides less protection for investors. In addition, Cayman Islands companies do not have standing to sue before the federal courts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As a result, it may be difficult for investors to effect service of process within the United States upon us, or to enforce judgments obtained in U.S. courts against us,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 T Corporation System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(Cayman) LLP, our counsel as to the laws of the Cayman Islands, has advised us that there is uncertainty as to whether the courts of the Cayman Islands would (1) recognize or enforce judgments of U.S. courts obtained against us or our directors or officers that are predicated upon the civil liability provisions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Mourant Ozannes (Cayman)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w:t>
      </w:r>
      <w:r>
        <w:rPr>
          <w:rFonts w:ascii="Times New Roman;Times;Serif" w:hAnsi="Times New Roman;Times;Serif"/>
          <w:b w:val="false"/>
          <w:i/>
          <w:caps w:val="false"/>
          <w:smallCaps w:val="false"/>
          <w:sz w:val="20"/>
        </w:rPr>
        <w:t>in personam </w:t>
      </w:r>
      <w:r>
        <w:rPr>
          <w:rFonts w:ascii="Times New Roman;Times;Serif" w:hAnsi="Times New Roman;Times;Serif"/>
          <w:b w:val="false"/>
          <w:i w:val="false"/>
          <w:caps w:val="false"/>
          <w:smallCaps w:val="false"/>
          <w:sz w:val="20"/>
        </w:rPr>
        <w:t>obtained in such jurisdiction may be recognized and enforced in the courts of the Cayman Islands at common law, without any re-examination of the merits of the underlying dispute, by an action commenced on the foreign judgment debt in the Grand Court of the Cayman Islands, provided such judgment (a) is given by a competent foreign court with jurisdiction to give the judgment, (b) imposes a specific positive obligation on the judgment debtor (such as an obligation to pay a liquidated sum or perform a specified obligation), (c) is final and conclusive, (d) is not in respect of taxes, a fine or a penalty; (e) has not been obtained by fraud; and (f) was not obtained in a manner and is not of a kind the enforcement of which is contrary to natural justice or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Samoa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CLARKE EY KORIA LAWYERS, our counsel as to the laws of the Independent State of Samoa (“Samoa”), has advised us that the courts of the Samoa (where our Operating Entity is located) are unlikely (i) to recognize or enforce judgments of courts of the United States predicated upon the civil liability provisions of the securities laws of the United States or any State; and (ii) in original actions brought in Samoa, to impose liabilities predicated upon the civil liability provisions of the securities laws of the United States or any State, in so far as the liabilities imposed by those provisions are penal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CLARKE EY KORIA LAWYERS (“Samoa Counsel’) has informed us that although there is no statutory enforcement in Samoa of judgments obtained in the United States, the courts of Samoa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Samoa, such judgment must be final and conclusive and for a liquidated sum, and must not be in respect of taxes or a fine or penalty, inconsistent with a Samoan judgment in respect of the same matter, impeachable on the grounds of fraud or obtained in a manner, and or be of a kind the enforcement of which is, contrary to natural justice or the public policy of Samoa (awards of punitive or multiple damages may well be held to be contrary to public policy). A Samoan Court may stay enforcement proceedings if concurrent proceedings are being brought elsewhere. Our Samoa Counsel has informed us that there are recent conflicting English authorities about the enforcement of orders in foreign bankruptcy/insolvency proceedings and whether such orders should be subject to the principles outlined above. English authorities are not binding on Samoan Courts but remain persuasive. To the best of our Samoa Counsel’s knowledge, there is no Samoan Court judgment or statute that conclusively resolves these conflicting approaches and it remains the case that the law regarding the enforcement of bankruptcy/insolvency related judgments is still in a state of uncertainty.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Class A Ordinary Shares, nor will gains derived from the disposal of our Class A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State of Samoa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Samoan international companies enjoy certain statutory exemptions and privileges with regards taxation. Companies incorporated or re-registered under the Samoan International Companies Act 1988 (the “Samoan ICA”) are exempt from any capital gains, gift or inheritance taxes levied by the Samoan government. In addition, shares of international companies incorporated or re-registered under the Samoan ICA are not subject to transfer taxes, stamp duties or similar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shares in a Samoan international company is not required to pay tax in Samoa on (i) dividends paid with respect to the shares or (ii) any gains realized during that year on sale or disposal of such shares. Samoan international companies are also exempt from any currency and exchange control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Samoa do not impose a withholding tax on dividends paid by an international company incorporated or re-registered under the Samoan 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income tax treaty, convention or tax information exchange agreement currently in effect between the United States and Samoa.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Class A Ordinary Shares by a U.S. Holder (as defined below) that holds our Class A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and alternative minimum tax considerations, the Medicare tax on certain net investment income, information reporting or backup withholding or any state, local, and non-U.S. tax considerations, relating to the ownership or disposition of our Class A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960" w:right="0" w:hanging="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and other financial institutions;</w:t>
            </w:r>
          </w:p>
        </w:tc>
      </w:tr>
    </w:tbl>
    <w:p>
      <w:pPr>
        <w:pStyle w:val="TextBody"/>
        <w:bidi w:val="0"/>
        <w:spacing w:before="0" w:after="0"/>
        <w:ind w:left="960"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960" w:right="0" w:hanging="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17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pension plans;</w:t>
            </w:r>
          </w:p>
        </w:tc>
      </w:tr>
    </w:tbl>
    <w:p>
      <w:pPr>
        <w:pStyle w:val="TextBody"/>
        <w:bidi w:val="0"/>
        <w:spacing w:before="0" w:after="0"/>
        <w:ind w:left="960" w:right="0" w:hanging="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cooperatives;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9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960" w:right="0" w:hanging="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960" w:right="0" w:hanging="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960"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960" w:right="0" w:hanging="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that elect to use a mark-to-market method of accounting;</w:t>
            </w:r>
          </w:p>
        </w:tc>
      </w:tr>
    </w:tbl>
    <w:p>
      <w:pPr>
        <w:pStyle w:val="TextBody"/>
        <w:bidi w:val="0"/>
        <w:spacing w:before="0" w:after="0"/>
        <w:ind w:left="960" w:right="0" w:hanging="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former U.S. citizens or long-term residents;</w:t>
            </w:r>
          </w:p>
        </w:tc>
      </w:tr>
    </w:tbl>
    <w:p>
      <w:pPr>
        <w:pStyle w:val="TextBody"/>
        <w:bidi w:val="0"/>
        <w:spacing w:before="0" w:after="0"/>
        <w:ind w:left="960" w:right="0" w:hanging="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 (including private foundations);</w:t>
            </w:r>
          </w:p>
        </w:tc>
      </w:tr>
    </w:tbl>
    <w:p>
      <w:pPr>
        <w:pStyle w:val="TextBody"/>
        <w:bidi w:val="0"/>
        <w:spacing w:before="0" w:after="0"/>
        <w:ind w:left="960" w:right="0" w:hanging="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individual retirement accounts or other tax-deferred accounts;</w:t>
            </w:r>
          </w:p>
        </w:tc>
      </w:tr>
    </w:tbl>
    <w:p>
      <w:pPr>
        <w:pStyle w:val="TextBody"/>
        <w:bidi w:val="0"/>
        <w:spacing w:before="0" w:after="0"/>
        <w:ind w:left="96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liable for alternative minimum tax;</w:t>
            </w:r>
          </w:p>
        </w:tc>
      </w:tr>
    </w:tbl>
    <w:p>
      <w:pPr>
        <w:pStyle w:val="TextBody"/>
        <w:bidi w:val="0"/>
        <w:spacing w:before="0" w:after="0"/>
        <w:ind w:left="960" w:right="0" w:hanging="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17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acquire their Class A Ordinary Shares pursuant to any employee share option or otherwise as compensation;</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that will hold their Class A Ordinary Shares as part of a straddle, hedge, conversion, constructive sale or other integrated transaction for U.S. federal income tax purposes;</w:t>
            </w:r>
          </w:p>
        </w:tc>
      </w:tr>
    </w:tbl>
    <w:p>
      <w:pPr>
        <w:pStyle w:val="TextBody"/>
        <w:bidi w:val="0"/>
        <w:spacing w:before="0" w:after="0"/>
        <w:ind w:left="960" w:right="0" w:hanging="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that have a functional currency other than the U.S. dollar;</w:t>
            </w:r>
          </w:p>
        </w:tc>
      </w:tr>
    </w:tbl>
    <w:p>
      <w:pPr>
        <w:pStyle w:val="TextBody"/>
        <w:bidi w:val="0"/>
        <w:spacing w:before="0" w:after="0"/>
        <w:ind w:left="960" w:right="0" w:hanging="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10% or more of our Class A Ordinary Shares (by vote or value); or</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partnerships or other entities taxable as partnerships for U.S. federal income tax purposes, or persons holding the Class A Ordinary Shares through such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whom may be subject to tax rules that differ significantly from those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 Holder is urged to consult its tax advisor regarding the application of U.S. federal taxation to its particular circumstances, and the state, local, non-U.S., and other tax considerations of the ownership and disposition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Class A Ordinary Shares that is, for U.S. federal income tax purposes:</w:t>
      </w:r>
    </w:p>
    <w:p>
      <w:pPr>
        <w:pStyle w:val="TextBody"/>
        <w:bidi w:val="0"/>
        <w:spacing w:before="0" w:after="0"/>
        <w:ind w:left="960" w:right="0" w:hanging="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treated as a corporation for U.S. federal income tax purposes) created in, or organized under the laws of the United States or any state thereof or the District of Columbia;</w:t>
            </w:r>
          </w:p>
        </w:tc>
      </w:tr>
    </w:tbl>
    <w:p>
      <w:pPr>
        <w:pStyle w:val="TextBody"/>
        <w:bidi w:val="0"/>
        <w:spacing w:before="0" w:after="0"/>
        <w:ind w:left="960" w:right="0" w:hanging="0"/>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includible in gross income for U.S. federal income tax purposes regardless of its source; or</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 the administration of which is subject to the primary supervision of a U.S. court and which has one or more U.S. persons who have the authority to control all substantial decisions of the trust, or (ii) that has otherwise validly elected to be treated as a U.S. person under the Code.</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partnership (or other entity treated as a partnership for U.S. federal income tax purposes) is a beneficial owner of our Class A Ordinary Shares, the tax treatment of a partner in the partnership will generally depend upon the status of the partner and the activities of the partnership. Partnerships holding our Class A Ordinary Shares and their partners are urged to consult their tax advisors regarding an investment in our Class A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current and projected income and assets, the proceeds from our initial public offering, and the market price of our Class A Ordinary Shares,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Class A Ordinary Shares may cause us to be a PFIC for the current or future taxable years because the value of our assets for purposes of the asset test, including the value of our goodwill and unbooked intangibles, may be determined by reference to the market price of our Class A Ordinary Shares from time to time (which may be volatile). In estimating the value of our goodwill and other unbooked intangibles, we have taken into account our market capitalization (which will fluctuate from time to time).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our initial public offering. Under circumstances where our revenues from activities that produce passive income significantly increases relative to our revenues from activities that produce non-passive income, or where we determine not to deploy significant amounts of cash for active purposes, our risk of becoming a PFIC may substantially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year during which a U.S. Holder holds our Ordinary Shares, we generally will continue to be treated as a PFIC for all succeeding years during which such U.S. Holder holds our Class A Ordinary Shares unless, in such case, we cease to be treated as a PFIC and such U.S. Holder makes a deemed sole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 beginning on page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distributions paid on our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Dividends received on our Class A Ordinary Shares will not be eligible for the dividends received deduction allowed to corporations in respect of dividends-received from U.S.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other non-corporate U.S. Holders may be subject to tax on any such dividends at the lower capital gain tax rate applicable to “qualified dividend income,” provided that certain conditions are satisfied, including that (i) our Class A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Our Class A Ordinary Shares have been approved for listing on Nasdaq Global market under the symbol “NNNN.” We believe that the ordinary should generally be considered to be readily tradeable on an established securities market in the United States. There can be no assurance that the Class A Ordinary Shares will continue to be considered readily tradable on an established securities market in later years. U.S. Holders are urged to consult their tax advisors regarding the availability of the lower rate for dividends paid with respect to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paid on our Class A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upon the sale or other disposition of Class A Ordinary Shares in an amount equal to the difference between the amount realized upon the disposition and the holder’s adjusted tax basis in such Class A Ordinary Shares. Such gain or loss will generally be capital gain or loss. Any such capital gain or loss will be long term if the Class A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Class A Ordinary Shares, including the applicability of any tax treaty and the availability of the foreign tax credit under its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Class A Ordinary Shares), and (ii) any gain realized on the sale or other disposition, including, under certain circumstances, a pledge, Class A Ordinary Shares. Under the PFIC rules:</w:t>
      </w:r>
    </w:p>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or gain will be allocated ratably over the U.S. Holder’s holding period for the Class A Ordinary Shares;</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the current taxable year and any taxable years in the U.S. Holder’s holding period prior to the first taxable year in which we are classified as a PFIC (each, a “pre-PFIC year”), will be taxable as ordinary income; and</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(as defined below) in a PFIC may make a mark-to- market election with respect to such stock. If a U.S. Holder makes this election with respect to our Class A Ordinary Shares, the holder will generally(i) include as ordinary income for each taxable year that we are a PFIC the excess, if any, of the fair market value of Class A Ordinary Shares held at the end of the taxable year over the adjusted tax basis of such Class A Ordinary Shares and (ii) deduct as an ordinary loss the excess, if any, of the adjusted tax basis of the Class A Ordinary Shares over the fair market value of such Class A Ordinary Shares held at the end of the taxable year, but such deduction will only be allowed to the extent of the net amount previously included in income as a result of the mark-to-market election. The U.S. Holder’s adjusted tax basis in the Class A Ordinary Shares would be adjusted to reflect any income or loss resulting from the mark-to-market election. If a U.S. Holder makes a mark-to- market election in respect of our Class A Ordinary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Class A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Class A Ordinary Shares are treated as marketable stock upon their listing on Nasdaq Global Market. We anticipate that our Class A Ordinary Shares should qualify as being regularly traded, but no assurances may be given in this regard.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Class A Ordinary Shares during any taxable year that we are a PFIC, the holder must generally file an annual IRS Form 8621. You should consult your tax advisor regarding the U.S. federal income tax consequences of owning and disposing of our Class A Ordinary Shares if we are or become a PFIC.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are persons or entities that, directly or indirectly, have acquired or will from time to time acquire from us, our securities. If the registration statement of which this prospectus forms a part is used by selling shareholders for the resale of any securities registered thereunder, we will provide you with a prospectus supplement, which will set forth the name of each selling shareholder, the number of securities beneficially owned by such selling shareholder and the number of securities they are offering.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selling shareholders may offer securities under this prospectus from time to time pursuant to underwritten public offerings, negotiated transactions, block trades or a combination of these methods. We or selling shareholders may sell the securities (1) through underwriters or dealers, (2) through agents or (3) directly to one or more purchasers, or through a combination of such methods. We or selling shareholder may distribute the securities from time to time in one or more transactions at:</w:t>
      </w:r>
    </w:p>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prices related to the prevailing market prices;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pPr>
            <w:r>
              <w:rPr/>
              <w:t>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that we or selling shareholders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selling shareholders may directly solicit offers to purchase the securities being offered by this prospectus. We or selling shareholders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selling shareholders utilize a dealer in the sale of the securities being offered by this prospectus, we or the selling shareholders will sell the securities to the dealer, as principal. The dealer may then resell the securities to the public at varying prices to be determined by the dealer at the time of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selling shareholders utilize an underwriter in the sale of the securities being offered by this prospectus, we or the selling shareholders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underwritten public offerings, negotiated transactions and block trades, we will provide in the applicable prospectus supplement information regarding any compensation we or selling shareholders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selling shareholders may enter into agreements to indemnify underwriters, dealers and agents against civil liabilities, including liabilities under the Securities Act, or to contribute to payments they may be required to make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or selling shareholders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by an institution of the securities covered under that contract shall not at the time of delivery be prohibited under the laws of the jurisdiction to which that institution is subject;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sold pursuant to the registration statement of which this prospectus is a part will be authorized for listing and trading on The Nasdaq Global Market. The applicable prospectus supplement will contain information, where applicable, as to any other listing, if any, on The Nasdaq Global Market or any securities market or other securities exchange of the securities covered by the prospectus supplement. Underwriters may make a market in our Class A Ordinary Shares, but will not be obligated to do so and may discontinue any market making at any time without notice. We can make no assurance as to the liquidity of or the existence, development or maintenance of trading markets for any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perform other services for us, in the ordinary course of their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Ortoli Rosenstadt LLP with respect to certain legal matters as to United State federal securities and New York state law. The validity of the Class A Ordinary Shares offered in this offering and other certain legal matters as to Cayman Islands law will be passed upon for us by Mourant Ozannes (Cayman) LLP. Additional legal matters may be passed upon for any underwriters, dealers or agents by counsel that we will name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Anbio Biotechnology for the year ended December 31, 2025, appearing in Anbio Biotechnology’s Annual Report (Form 20-F) for the year ended December 31, 2025 has been audited by GGF CPA Ltd,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Anbio Biotechnology at December 31, 2024 and 2023 and for each of the two years in the period ended December 31, 2024 and 2023 appearing in Anbio Biotechnology’s Annual Report (Form 20-F) for the year ended December 31, 2024, have been audited by YCM CPA INC.,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YCM CPA INC. pertaining to such financial statements as of the respective dates (to the extent covered by consents filed with the Securities and Exchange Commission) given on the authority of such firm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WHERE YOU CAN FIND MORE INFORMATION ABOUT 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that are applicable to a foreign private issuer. We file reports, including annual reports on Form 20-F, and other information with the SEC pursuant to the rules and regulations of the SEC that apply to foreign private issuers. All information that we file with or furnish to the SEC can be obtained over the internet on the SEC’s website at www.sec.gov. We also maintain a website at www.anbiobiotechnology.com, but information contained on, or linked from, our website is not incorporated by reference in this prospectus or any prospectus supplement. You should not regard any information on our website as a part of this prospectus or any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on the SEC’s website.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filed with the SEC on April 7, 2026;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Amendment to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filed with the SEC on April 9,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 on Form 6-K filed with the SEC on </w:t>
            </w:r>
            <w:hyperlink r:id="rId5">
              <w:r>
                <w:rPr>
                  <w:rStyle w:val="InternetLink"/>
                  <w:rFonts w:ascii="Times New Roman;Times;Serif" w:hAnsi="Times New Roman;Times;Serif"/>
                  <w:b w:val="false"/>
                  <w:i w:val="false"/>
                  <w:caps w:val="false"/>
                  <w:smallCaps w:val="false"/>
                  <w:sz w:val="20"/>
                </w:rPr>
                <w:t>April 27,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May 19, 2026</w:t>
              </w:r>
            </w:hyperlink>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securities contained in our registration statement on </w:t>
            </w:r>
            <w:hyperlink r:id="rId7">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February 14, 2025 pursuant to Section 12 of the Exchange Act;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annual reports on Form 20-F filed with the SEC (1) after the date of the initial registration statement of which this prospectus forms a part and prior to its effectiveness and (2) prior to the termination of the offering shall be deemed to be incorporated by reference to this prospectus and to be a part hereof from the date of filing of such documents;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reports of foreign private issuer on Form 6-K that we furnish to the SEC (1) after the date of the initial registration statement of which this prospectus forms a part and prior to its effectiveness and (2) prior to the termination of the offering shall be deemed to be incorporated by reference to this prospectus and to be a part hereof from the date of filing of such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that is incorporated by reference into this prospectus will be deemed to be modified or superseded for the purposes of this prospectus to the extent that a statement contained in this prospectus, or in any other subsequently filed document which also is or is deemed to be incorporated by reference into this prospectus, modifies or supersedes that statement. The modifying or superseding statement does not need to state that it has modified or superseded a prior statement or include any other information set forth in the document that it modifies or supersedes.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 Anbio Biotechnology, Friedrich-Ebert-Anlage 35-37, 60327, Frankfurt am Main, 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NOT REQUIRED IN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Indemnification of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amended and restated 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Our amended and restated memorandum and articles of association provide for indemnification of officers and directors for losses, damages, costs and expenses incurred in their capacities as such unless such losses arise through the actual fraud or willful default of such director 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as a matter of United States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entered into in connection with an offering of securities will also provide for indemnification of us and our officers and directors in certain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Exhibits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Second Amended and Restated Memorandum and Articles of Incorporation of the Registrant, incorporated herein by reference to Exhibit 3.1 to the Current Report on Form 6-K filed with the SEC on May 19, 2026</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anbioex4-1.htm">
              <w:r>
                <w:rPr>
                  <w:rStyle w:val="InternetLink"/>
                  <w:rFonts w:ascii="Times New Roman;Times;Serif" w:hAnsi="Times New Roman;Times;Serif"/>
                  <w:b w:val="false"/>
                  <w:i w:val="false"/>
                  <w:caps w:val="false"/>
                  <w:smallCaps w:val="false"/>
                  <w:sz w:val="20"/>
                </w:rPr>
                <w:t>Description of Securities</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anbioex4-2.htm">
              <w:r>
                <w:rPr>
                  <w:rStyle w:val="InternetLink"/>
                  <w:rFonts w:ascii="Times New Roman;Times;Serif" w:hAnsi="Times New Roman;Times;Serif"/>
                  <w:b w:val="false"/>
                  <w:i w:val="false"/>
                  <w:caps w:val="false"/>
                  <w:smallCaps w:val="false"/>
                  <w:sz w:val="20"/>
                </w:rPr>
                <w:t>Form of Senior Debt Indenture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anbioex4-3.htm">
              <w:r>
                <w:rPr>
                  <w:rStyle w:val="InternetLink"/>
                  <w:rFonts w:ascii="Times New Roman;Times;Serif" w:hAnsi="Times New Roman;Times;Serif"/>
                  <w:b w:val="false"/>
                  <w:i w:val="false"/>
                  <w:caps w:val="false"/>
                  <w:smallCaps w:val="false"/>
                  <w:sz w:val="20"/>
                </w:rPr>
                <w:t>Form of Subordinated Debt Indenture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Senior Note</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Subordinated Note</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 and Warrant Certificate</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 (including unit certificate)</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Agreement (including rights certificate)</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Share Purchase Contract</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Share Purchase Unit</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anbioex5-1.htm">
              <w:r>
                <w:rPr>
                  <w:rStyle w:val="InternetLink"/>
                  <w:rFonts w:ascii="Times New Roman;Times;Serif" w:hAnsi="Times New Roman;Times;Serif"/>
                  <w:b w:val="false"/>
                  <w:i w:val="false"/>
                  <w:caps w:val="false"/>
                  <w:smallCaps w:val="false"/>
                  <w:sz w:val="20"/>
                </w:rPr>
                <w:t>Opinion of Mourant, Cayman Islands counsel of Anbio Biotechnology, regarding the validity of securities being registered</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anbioex5-2.htm">
              <w:r>
                <w:rPr>
                  <w:rStyle w:val="InternetLink"/>
                  <w:rFonts w:ascii="Times New Roman;Times;Serif" w:hAnsi="Times New Roman;Times;Serif"/>
                  <w:b w:val="false"/>
                  <w:i w:val="false"/>
                  <w:caps w:val="false"/>
                  <w:smallCaps w:val="false"/>
                  <w:sz w:val="20"/>
                </w:rPr>
                <w:t>Opinion of Ortoli Rosenstadt LLP, United States counsel of Anbio Biotechnology, regarding the validity of debt securities being registered</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anbioex23-1.htm">
              <w:r>
                <w:rPr>
                  <w:rStyle w:val="InternetLink"/>
                  <w:rFonts w:ascii="Times New Roman;Times;Serif" w:hAnsi="Times New Roman;Times;Serif"/>
                  <w:b w:val="false"/>
                  <w:i w:val="false"/>
                  <w:caps w:val="false"/>
                  <w:smallCaps w:val="false"/>
                  <w:sz w:val="20"/>
                </w:rPr>
                <w:t>Consent of YCM CPA INC.</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anbioex23-2.htm">
              <w:r>
                <w:rPr>
                  <w:rStyle w:val="InternetLink"/>
                  <w:rFonts w:ascii="Times New Roman;Times;Serif" w:hAnsi="Times New Roman;Times;Serif"/>
                  <w:b w:val="false"/>
                  <w:i w:val="false"/>
                  <w:caps w:val="false"/>
                  <w:smallCaps w:val="false"/>
                  <w:sz w:val="20"/>
                </w:rPr>
                <w:t>Consent of GGF CPA Ltd</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p_001">
              <w:r>
                <w:rPr>
                  <w:rStyle w:val="InternetLink"/>
                  <w:rFonts w:ascii="Times New Roman;Times;Serif" w:hAnsi="Times New Roman;Times;Serif"/>
                  <w:b w:val="false"/>
                  <w:i w:val="false"/>
                  <w:caps w:val="false"/>
                  <w:smallCaps w:val="false"/>
                  <w:sz w:val="20"/>
                </w:rPr>
                <w:t>Power of Attorney (included on signature page)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T-1 Statement of Eligibility (senior indenture)</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T-1 Statement of Eligibility (subordinated indenture)</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anbioex-fee.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filed by amendment or as an exhibit to a document to be incorporated by reference into this registration statement. </w:t>
            </w:r>
          </w:p>
        </w:tc>
      </w:tr>
    </w:tbl>
    <w:p>
      <w:pPr>
        <w:pStyle w:val="TextBody"/>
        <w:bidi w:val="0"/>
        <w:spacing w:before="0" w:after="0"/>
        <w:ind w:left="0" w:right="0" w:hanging="0"/>
        <w:jc w:val="both"/>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245"/>
        <w:gridCol w:w="945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in accordance with the requirements of Section 305(b)(2) of the Trust Indenture Act of 1939, as amended.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 Undertakings. </w:t>
      </w:r>
    </w:p>
    <w:p>
      <w:pPr>
        <w:pStyle w:val="TextBody"/>
        <w:bidi w:val="0"/>
        <w:spacing w:before="0" w:after="0"/>
        <w:ind w:left="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3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paragraphs (a)(1)(i), (a)(1)(ii) and (a)(1)(iii) of this item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45"/>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30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an application for the purpose of determining the eligibility of the trustee to act under subsection (a) of section 310 of the Trust Indenture Act (“Act”) in accordance with the rules and regulations prescribed by the Commission under section 305(b)(2) of the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p_001"/>
      <w:bookmarkEnd w:id="22"/>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Germany, on July 9, 2026.</w:t>
      </w:r>
    </w:p>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45"/>
        <w:gridCol w:w="1940"/>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Anbio Biotechnology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Lau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Michael Lau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each person whose signature appears below hereby constitutes and appoints Michael Lau, as his or her true and lawful agent, proxy and attorney-in-fact, with full power of substitution and resubstitution, for and in his or her name, place and stead, in any and all capacities, to (i) act on, sign and file with the Securities and Exchange Commission any and all amendments (including post-effective amendments) to this Registration Statement on Form F-3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on Form F-3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1820"/>
        <w:gridCol w:w="60"/>
        <w:gridCol w:w="5885"/>
        <w:gridCol w:w="60"/>
        <w:gridCol w:w="1205"/>
      </w:tblGrid>
      <w:tr>
        <w:trPr/>
        <w:tc>
          <w:tcPr>
            <w:tcW w:w="1820"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5885"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Date</w:t>
            </w:r>
          </w:p>
        </w:tc>
      </w:tr>
      <w:tr>
        <w:trPr/>
        <w:tc>
          <w:tcPr>
            <w:tcW w:w="1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bottom w:val="single" w:sz="8" w:space="0" w:color="000000"/>
            </w:tcBorders>
            <w:vAlign w:val="center"/>
          </w:tcPr>
          <w:p>
            <w:pPr>
              <w:pStyle w:val="TableContents"/>
              <w:bidi w:val="0"/>
              <w:spacing w:before="0" w:after="283"/>
              <w:jc w:val="left"/>
              <w:rPr/>
            </w:pPr>
            <w:r>
              <w:rPr/>
              <w:t xml:space="preserve">/s/ Michael Lau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xml:space="preserve">Chief Executive Officer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9, 2026</w:t>
            </w:r>
          </w:p>
        </w:tc>
      </w:tr>
      <w:tr>
        <w:trPr/>
        <w:tc>
          <w:tcPr>
            <w:tcW w:w="1820" w:type="dxa"/>
            <w:tcBorders/>
            <w:tcMar>
              <w:bottom w:w="0" w:type="dxa"/>
            </w:tcMar>
            <w:vAlign w:val="center"/>
          </w:tcPr>
          <w:p>
            <w:pPr>
              <w:pStyle w:val="TableContents"/>
              <w:bidi w:val="0"/>
              <w:spacing w:before="0" w:after="283"/>
              <w:jc w:val="left"/>
              <w:rPr/>
            </w:pPr>
            <w:r>
              <w:rPr/>
              <w:t>Michael Lau</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bottom w:val="single" w:sz="8" w:space="0" w:color="000000"/>
            </w:tcBorders>
            <w:vAlign w:val="center"/>
          </w:tcPr>
          <w:p>
            <w:pPr>
              <w:pStyle w:val="TableContents"/>
              <w:bidi w:val="0"/>
              <w:spacing w:before="0" w:after="283"/>
              <w:jc w:val="left"/>
              <w:rPr/>
            </w:pPr>
            <w:r>
              <w:rPr/>
              <w:t xml:space="preserve">/s/ Suki Song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xml:space="preserve">Chief Financial Officer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9, 2026</w:t>
            </w:r>
          </w:p>
        </w:tc>
      </w:tr>
      <w:tr>
        <w:trPr/>
        <w:tc>
          <w:tcPr>
            <w:tcW w:w="1820" w:type="dxa"/>
            <w:tcBorders/>
            <w:tcMar>
              <w:bottom w:w="0" w:type="dxa"/>
            </w:tcMar>
            <w:vAlign w:val="center"/>
          </w:tcPr>
          <w:p>
            <w:pPr>
              <w:pStyle w:val="TableContents"/>
              <w:bidi w:val="0"/>
              <w:spacing w:before="0" w:after="283"/>
              <w:jc w:val="left"/>
              <w:rPr/>
            </w:pPr>
            <w:r>
              <w:rPr/>
              <w:t>Suki Song</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bottom w:val="single" w:sz="8" w:space="0" w:color="000000"/>
            </w:tcBorders>
            <w:vAlign w:val="center"/>
          </w:tcPr>
          <w:p>
            <w:pPr>
              <w:pStyle w:val="TableContents"/>
              <w:bidi w:val="0"/>
              <w:spacing w:before="0" w:after="283"/>
              <w:jc w:val="left"/>
              <w:rPr/>
            </w:pPr>
            <w:r>
              <w:rPr/>
              <w:t xml:space="preserve">/s/ Cany Xu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9, 2026</w:t>
            </w:r>
          </w:p>
        </w:tc>
      </w:tr>
      <w:tr>
        <w:trPr/>
        <w:tc>
          <w:tcPr>
            <w:tcW w:w="1820" w:type="dxa"/>
            <w:tcBorders/>
            <w:tcMar>
              <w:bottom w:w="0" w:type="dxa"/>
            </w:tcMar>
            <w:vAlign w:val="center"/>
          </w:tcPr>
          <w:p>
            <w:pPr>
              <w:pStyle w:val="TableContents"/>
              <w:bidi w:val="0"/>
              <w:spacing w:before="0" w:after="283"/>
              <w:jc w:val="left"/>
              <w:rPr/>
            </w:pPr>
            <w:r>
              <w:rPr/>
              <w:t>Cany Xu</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bottom w:val="single" w:sz="8" w:space="0" w:color="000000"/>
            </w:tcBorders>
            <w:vAlign w:val="center"/>
          </w:tcPr>
          <w:p>
            <w:pPr>
              <w:pStyle w:val="TableContents"/>
              <w:bidi w:val="0"/>
              <w:spacing w:before="0" w:after="283"/>
              <w:jc w:val="left"/>
              <w:rPr/>
            </w:pPr>
            <w:r>
              <w:rPr/>
              <w:t xml:space="preserve">/s/ Nancy Hartzler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9, 2026</w:t>
            </w:r>
          </w:p>
        </w:tc>
      </w:tr>
      <w:tr>
        <w:trPr/>
        <w:tc>
          <w:tcPr>
            <w:tcW w:w="1820" w:type="dxa"/>
            <w:tcBorders/>
            <w:tcMar>
              <w:bottom w:w="0" w:type="dxa"/>
            </w:tcMar>
            <w:vAlign w:val="center"/>
          </w:tcPr>
          <w:p>
            <w:pPr>
              <w:pStyle w:val="TableContents"/>
              <w:bidi w:val="0"/>
              <w:spacing w:before="0" w:after="283"/>
              <w:jc w:val="left"/>
              <w:rPr/>
            </w:pPr>
            <w:r>
              <w:rPr/>
              <w:t>Nancy Hartzler</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bottom w:val="single" w:sz="8" w:space="0" w:color="000000"/>
            </w:tcBorders>
            <w:vAlign w:val="center"/>
          </w:tcPr>
          <w:p>
            <w:pPr>
              <w:pStyle w:val="TableContents"/>
              <w:bidi w:val="0"/>
              <w:spacing w:before="0" w:after="283"/>
              <w:jc w:val="left"/>
              <w:rPr/>
            </w:pPr>
            <w:r>
              <w:rPr/>
              <w:t xml:space="preserve">/s/ Michael Zhang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9, 2026</w:t>
            </w:r>
          </w:p>
        </w:tc>
      </w:tr>
      <w:tr>
        <w:trPr/>
        <w:tc>
          <w:tcPr>
            <w:tcW w:w="1820" w:type="dxa"/>
            <w:tcBorders/>
            <w:tcMar>
              <w:bottom w:w="0" w:type="dxa"/>
            </w:tcMar>
            <w:vAlign w:val="center"/>
          </w:tcPr>
          <w:p>
            <w:pPr>
              <w:pStyle w:val="TableContents"/>
              <w:bidi w:val="0"/>
              <w:spacing w:before="0" w:after="283"/>
              <w:jc w:val="left"/>
              <w:rPr/>
            </w:pPr>
            <w:r>
              <w:rPr/>
              <w:t>Michael Zhang</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20" w:type="dxa"/>
            <w:tcBorders>
              <w:bottom w:val="single" w:sz="8" w:space="0" w:color="000000"/>
            </w:tcBorders>
            <w:vAlign w:val="center"/>
          </w:tcPr>
          <w:p>
            <w:pPr>
              <w:pStyle w:val="TableContents"/>
              <w:bidi w:val="0"/>
              <w:spacing w:before="0" w:after="283"/>
              <w:jc w:val="left"/>
              <w:rPr/>
            </w:pPr>
            <w:r>
              <w:rPr/>
              <w:t xml:space="preserve">/s/ David Hsu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9, 2026</w:t>
            </w:r>
          </w:p>
        </w:tc>
      </w:tr>
      <w:tr>
        <w:trPr/>
        <w:tc>
          <w:tcPr>
            <w:tcW w:w="1820" w:type="dxa"/>
            <w:tcBorders/>
            <w:tcMar>
              <w:bottom w:w="0" w:type="dxa"/>
            </w:tcMar>
            <w:vAlign w:val="center"/>
          </w:tcPr>
          <w:p>
            <w:pPr>
              <w:pStyle w:val="TableContents"/>
              <w:bidi w:val="0"/>
              <w:spacing w:before="0" w:after="283"/>
              <w:jc w:val="left"/>
              <w:rPr/>
            </w:pPr>
            <w:r>
              <w:rPr/>
              <w:t>David Hsu</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AUTHORIZED U.S. REPRESENTATIVE OF THE REGISTRANT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undersigned, the duly authorized representative in the United States of Anbio Biotechnology, has signed this Registration Statement on Form F-3 in New York, NY, United States on July 9, 2026.</w:t>
      </w:r>
    </w:p>
    <w:p>
      <w:pPr>
        <w:pStyle w:val="TextBody"/>
        <w:bidi w:val="0"/>
        <w:spacing w:before="0" w:after="0"/>
        <w:ind w:left="0" w:right="0" w:hanging="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687"/>
        <w:gridCol w:w="1972"/>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U.S. Representative</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T Corporation System </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caps w:val="false"/>
                <w:smallCaps w:val="false"/>
              </w:rPr>
            </w:pPr>
            <w:r>
              <w:rPr>
                <w:caps w:val="false"/>
                <w:smallCaps w:val="false"/>
              </w:rPr>
              <w:t> </w:t>
            </w:r>
          </w:p>
        </w:tc>
        <w:tc>
          <w:tcPr>
            <w:tcW w:w="19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z w:val="20"/>
              </w:rPr>
              <w:t>Denise Bell</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Denise Bell</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anbioex4-1.htm"/>
      <w:bookmarkStart w:id="24" w:name="ksanbioex41"/>
      <w:bookmarkEnd w:id="23"/>
      <w:bookmarkEnd w:id="24"/>
      <w:r>
        <w:rPr>
          <w:rFonts w:ascii="Times New Roman;Times;Serif" w:hAnsi="Times New Roman;Times;Serif"/>
          <w:b/>
          <w:i w:val="false"/>
          <w:caps w:val="false"/>
          <w:smallCaps w:val="false"/>
          <w:sz w:val="20"/>
        </w:rPr>
        <w:t>Exhibit 4.1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REGISTRANT’S SECURITIES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PURSUANT TO SECTION 12 OF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registration statement on Form F-3 of which this Exhibit 4.1 is a part, Anbio Biotechnology (the “Company”, “we”, “us” or “our”) has only one class of securities registered under Section 12 of the Securities Exchange Act of 1934, as amended: the Company’s Class A Ordinary Shares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shd w:fill="FFFFFF" w:val="clear"/>
        </w:rPr>
        <w:t xml:space="preserve">Description of </w:t>
      </w:r>
      <w:r>
        <w:rPr>
          <w:rFonts w:ascii="Times New Roman;Times;Serif" w:hAnsi="Times New Roman;Times;Serif"/>
          <w:b/>
          <w:i w:val="false"/>
          <w:caps w:val="false"/>
          <w:smallCaps w:val="false"/>
          <w:sz w:val="20"/>
          <w:u w:val="single"/>
        </w:rPr>
        <w:t>Class A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our Class A Ordinary Shares is a summary and does not purport to be complete. It is subject to and qualified in its entirety by reference to our amended and restated Memorandum and Articles, which are incorporated by reference as an exhibit to the registration statement on Form F-3 of which this Exhibit 4.1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Class A Ordinary Shares and Class B Ordinary Shares are fully paid and non-assessable. Our Class A Ordinary Shares and Class B Ordinary Shares are issued in registered book-entry form, and are issued when registered in our register of members. Unless the Board of Directors determines otherwise, each holder of our Ordinary Shares will not receive a certificate in respect of such Ordinary Shares. Our shareholders who are non-residents of the Cayman Islands may freely hold and vote their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US$3,000.00 divided into 3,000,000,000,000 shares of US$0.000000001 par value each, comprising of 800,000,000,000 Class A Ordinary Shares of US$0.000000001 par value each, and 200,000,000,000 Class B Ordinary Shares of US$0.000000001 par value each, 1,000,000,000,000 Class C Ordinary Shares of US$0.000000001 par value each and 1,000,000,000,000 preference shares of US$0.000000001 par value each. Subject to the provisions of the Cayman Islands Companies Act and our articles, the directors have general and unconditional authority to allot, grant options over or otherwise deal with any unissued shares to such persons, at such times and on such terms and conditions as they may decide. No share may be issued at a discount except in accordance with the provisions of the Cayman Islands Companies Act. The directors may refuse to accept any application for shares, and may accept any application in whole or in part, for any reason or for no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currently 43,891,200 Class A Ordinary Shares and 100,000,000 Class B Ordinary Shares issued and outstanding and no Class C Ordinary Shares or Preference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in the Company confers upon the shareholder the right to one vote per share at a meeting of the shareholders of the Company or on any resolution of shareholders. Holders of our Class A Ordinary Share will vote together with holders of our Class B ordinary shares as a single class on all matters presented to our shareholders for their approval at any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in the Company confers upon the shareholder the right to an equal share in any dividend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in the Company confers upon the shareholder the right to an equal share in the distribution of the surplus assets of the Company on its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Class A ordinary shares are fully paid and non-assessable. Our Class A ordinary shares are issued in registered form. Share certificates will not be issued unless our directors determine otherwise. Our shareholders who are non-residents of the Cayman Islands may freely hold and vote their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Islands Companies Act and any rights and restrictions attaching to any class or classes of shares under and in accordance with the Articles, the directors may declare dividends or distributions out of our funds which are lawfully available for that purpose. Our Class B Ordinary Shares do not confer upon the holders thereof any rights to receive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requirements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of association, holders of Class A Ordinary Shares and Class B Ordinary Shares shall, at all times, vote together as one class on all matters submitted to a vote by the shareholders at any general meeting of the Company. At each general meeting, each shareholder who is present in person or by proxy (or, in the case of a shareholder being a corporation, by its duly authorized representative) will have one (1) vote for each Class A Ordinary Share and five hundred (500) votes for each Class B Ordinary Share which such shareholder holds. At any general meeting, a resolution put to the vote of the meeting shall be decided by a poll and not on a show of hands.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requires the affirmative vote of a simple majority of the votes attached to the Ordinary Shares cast by those shareholders entitled to vote who are present in person or by proxy (or, in the case of corporations, by their duly authorized representatives) at a duly convened and constituted general meeting, while a special resolution requires the affirmative vote of a majority of not less than two-thirds of the votes cast at such a meeting. Both ordinary resolutions and special resolutions may also be passed by a unanimous written resolution signed by all the shareholders of our company, as permitted by the Cayman Islands Companies Act and our M&amp;A. A special resolution will be required for important matters such as a change of name or making changes to our M&amp;A, as set out in the Cayman Islands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share capital of the Company is divided into different classes of shares, the rights attached to any class (unless otherwise provided by the terms of issue of the shares of that class) may, whether or not the Company is being wound up, be varied or abrogated:</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or with the approval of, the board without the consent of the holders of the shares of that class if the board determines that the variation or abrogation is not materially adverse to the interests of those members;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otherwise only with the consent in writing of the holders of a majority of the issued shares of that class or with the sanction of an ordinary resolution passed at a separate meeting of the holders of the shares of that class.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of issue or other rights attaching to a class of shares provide otherwise, the rights conferred on the holders of shares of any class shall not be deemed to be materially adversely varied by the creation or issue of further shares ranking pari passu with the existing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our shareholders may, by ordinary resolution: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new shares of the amount fixed by that ordinary resolution and with the attached rights, priorities and privileges set out in that ordinary resolution;</w:t>
            </w:r>
          </w:p>
        </w:tc>
      </w:tr>
    </w:tbl>
    <w:p>
      <w:pPr>
        <w:pStyle w:val="TextBody"/>
        <w:bidi w:val="0"/>
        <w:spacing w:before="0" w:after="0"/>
        <w:ind w:left="960" w:right="0" w:hanging="48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 than our existing shares;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and to any rights for the time being conferred on the shareholders holding a particular class of shares, our shareholders may, by special resolution, reduce our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clear days’ notice specifying when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such rate fixed as the directors determine. The directors may, at their discretion, waive payment of the interest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0"/>
        <w:ind w:left="960" w:right="0" w:hanging="48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3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alone or jointly with any other person, whether or not that other person is a shareholder; and</w:t>
            </w:r>
          </w:p>
        </w:tc>
      </w:tr>
    </w:tbl>
    <w:p>
      <w:pPr>
        <w:pStyle w:val="TextBody"/>
        <w:bidi w:val="0"/>
        <w:spacing w:before="0" w:after="0"/>
        <w:ind w:left="960" w:right="0" w:hanging="48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those monies are presently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directors may declare any share to be wholly or partly exempt from the lien on shares provisions of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14 clear days of the date on which the notice is deemed to be given under the articles, such notice has not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call the directors may give to such shareholder not less than 14 clear days’ notice requiring payment and specifying the amount unpaid including any interest which may have accrued and the place where payment is to be made. The notice shall also contain a warning that if the notice is not complied with, the shares in respect of which the call is made will be liable to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 remain liable to pay to us all monies which at the date of forfeiture were payable by him to us in respect of the shares, together with interest from the date of forfeiture until payment, but his liability shall cease if and when we receive payment in full of the unpaid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in writing under the hand of a director or officer of the Company that a share has been forfeited on a specific date shall be conclusive evidence that the particular shares have been forfeited on a particular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certificate shall constitute good title to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 or capital contributed or such other amounts required by the Cayman Islands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and any rights for the time being conferred on the shareholders holding a particular class of shares, we may:</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our option or the shareholder holding those redeemable shares, on the terms and in the manner its directors determine before the issue of those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our own shares of any class, including any redeemable shares, on such terms and in such manner as have been approved by our board of directors or by an ordinary resolution of our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our own shares in any manner authorized by the Cayman Islands Companies Act, including out of any combination of our profits, share premium account, capital or the proceeds of a fresh issue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ordinary share complies with applicable rules of the Nasdaq, a shareholder may transfer any ordinary share to another person by completing an instrument of transfer in a common form or in a form prescribed by Nasdaq or in any other common form or form approved by the directors, executed:</w:t>
      </w:r>
    </w:p>
    <w:p>
      <w:pPr>
        <w:pStyle w:val="TextBody"/>
        <w:bidi w:val="0"/>
        <w:spacing w:before="0" w:after="0"/>
        <w:ind w:left="960" w:right="0" w:hanging="480"/>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23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fully paid, by or on behalf of that shareholder; and</w:t>
            </w:r>
          </w:p>
        </w:tc>
      </w:tr>
    </w:tbl>
    <w:p>
      <w:pPr>
        <w:pStyle w:val="TextBody"/>
        <w:bidi w:val="0"/>
        <w:spacing w:before="0" w:after="0"/>
        <w:ind w:left="960" w:right="0" w:hanging="48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unpaid or partly paid, by or on behalf of that shareholder and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the register of members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any ordinary shares, unless: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(if any) for the ordinary share to which it relates and such other evidence as our board of directors may reasonably require to show the right of the transferor to make the transfer;</w:t>
            </w:r>
          </w:p>
        </w:tc>
      </w:tr>
    </w:tbl>
    <w:p>
      <w:pPr>
        <w:pStyle w:val="TextBody"/>
        <w:bidi w:val="0"/>
        <w:spacing w:before="0" w:after="0"/>
        <w:ind w:left="960" w:right="0" w:hanging="48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245"/>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w:t>
            </w:r>
          </w:p>
        </w:tc>
      </w:tr>
    </w:tbl>
    <w:p>
      <w:pPr>
        <w:pStyle w:val="TextBody"/>
        <w:bidi w:val="0"/>
        <w:spacing w:before="0" w:after="0"/>
        <w:ind w:left="960" w:right="0" w:hanging="48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960" w:right="0" w:hanging="48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ordinary share transferred is fully paid and free of any lien in favor of us;</w:t>
            </w:r>
          </w:p>
        </w:tc>
      </w:tr>
    </w:tbl>
    <w:p>
      <w:pPr>
        <w:pStyle w:val="TextBody"/>
        <w:bidi w:val="0"/>
        <w:spacing w:before="0" w:after="0"/>
        <w:ind w:left="960" w:right="0" w:hanging="48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3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fee related to the transfer has been paid to us; and</w:t>
            </w:r>
          </w:p>
        </w:tc>
      </w:tr>
    </w:tbl>
    <w:p>
      <w:pPr>
        <w:pStyle w:val="TextBody"/>
        <w:bidi w:val="0"/>
        <w:spacing w:before="0" w:after="0"/>
        <w:ind w:left="960" w:right="0" w:hanging="48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20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is not to more than four joint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subject to compliance with the rules of the relevant stock exchange (including as to notice), be suspended and our register of members closed at such times and for such periods as our board of directors may from time to time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Cayman Islands Companies Act to inspect or obtain copies of our register of members or our corporate records (other than copies of our M&amp;A and register of mortgages and charges, and any special resolutions passed by our shareholders). Our directors have discretion under our articles of association to determine whether or not, and under what conditions, our corporate records may be inspected by our shareholders, but are not obliged to make them available to our shareholders. No shareholder (not being a director) shall have any right of inspection of any account or book or document of our company except as conferred by law or authorised by our board of directors or by an ordinary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Islands Companies Act to call shareholders’ annual general meetings; accordingly, we may, but shall not be obliged to, in each year hold a general meeting as an annual general meeting. Any annual general meeting held shall be held at such time and place as may be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a majority of the votes attaching to the issued and outstanding shares, specifying the purpose of the meeting and signed by each of the shareholders making the requisition. In the event that the directors do not convene such meeting for a date not later than 30 days after the date of receipt by the Company of the written requisition, those shareholders who requested the meeting may convene the general meeting themselves within 45 days after the end of such period of 30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 days’ notice of a general meeting shall be given to shareholders entitled to attend and vote at such meeting. The notice shall specify the place, the day and the hour of the meeting, and the business to be conducted at the meeting. In addition, if a resolution is proposed as a special resolution, the text of that resolution shall be given to all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Companies Act and with the consent of (1) in the case of the annual general meeting, all shareholders entitled to attend and vote thereat, and (2) in the case of any other general meeting, one or more shareholders holding shares representing not less than two-thirds of all votes attaching to the issued and outstanding shares carrying the right to vote at a general meeting, a general meeting may be convened on shorter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voting rights of the issued and outstanding shares carrying the right to vote at such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half an hour from the time appointed for the general meeting, or at any time during the meeting, a quorum is not present, the meeting, if convened upon the requisition of shareholders, shall be dissolved. In any other case it shall stand adjourned to the same day in the next week, at the same time and place or to such other day and at such other time and place as the directors may determine and if at such adjourned meeting a quorum is not present within fifteen (15) minutes from the time appointed for holding the meeting, the shareholders present shall be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fourteen days or more, at least five days’ notice specifying the place, the day and the hour of the adjourned meeting shall be given in accordance with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by a poll and not on a show of hands.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chairperson of the meeting shall be entitled to a second or casting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 unless otherwise determined by our shareholders by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be entitled to such remuneration as the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articles of association, the office of a director shall be vacated forthwith if:</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ceases to be a director by virtue of, or becomes prohibited from being a director by reason of, an order made under any provisions of any law or enactment;</w:t>
            </w:r>
          </w:p>
        </w:tc>
      </w:tr>
    </w:tbl>
    <w:p>
      <w:pPr>
        <w:pStyle w:val="TextBody"/>
        <w:bidi w:val="0"/>
        <w:spacing w:before="0" w:after="0"/>
        <w:ind w:left="960" w:right="0" w:hanging="48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45"/>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becomes bankrupt or makes an arrangement or composition with his creditors generally;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resigns or terminates his term with or without cause on not less than three months' prior notice in writing to the Company given in accordance with the terms specified in a written agreement between the Company and the director, if 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was only appointed as a director for a fixed term and such term expires without renewal, unless the contract with the director provides for the automatic renewal of the term and no notice of non-renewal or termination has been given in accordance with such contract;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23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dies or, in the opinion of a registered medical practitioner by whom he is being treated, is or becomes of unsound mind;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given notice at his last known address, signed by all of the other directors (not being less than two in number) directing his removal;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absent (without being represented by an alternate director appointed by him) from three consecutive meetings of the board of directors without special leave of absence from the directors, and they pass a resolution that he has by reason of such absence vacated office; or</w:t>
            </w:r>
          </w:p>
        </w:tc>
      </w:tr>
    </w:tbl>
    <w:p>
      <w:pPr>
        <w:pStyle w:val="TextBody"/>
        <w:bidi w:val="0"/>
        <w:spacing w:before="0" w:after="0"/>
        <w:ind w:left="960" w:right="0" w:hanging="48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24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removed from office by ordinary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compensation committee and the nominating committee shall consist of at least three directors and the majority of the committee members shall be independent within the meaning of the Nasdaq corporate governance rules. The audit committee shall consist of at least three directors, all of whom shall be independent within the meaning of the Nasdaq corporate governance rules and will meet the criteria for independence set forth in Rule 10A-3 or Rule 10C-1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Islands Companies Act and our M&amp;A, our business shall be managed by the directors, who may exercise all our powers. No prior act of the directors shall be invalidated by any subsequent alteration of our M&amp;A or regulation made by the company in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of directors have established an audit committee, a compensation committee, and a 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board or agency and delegate to it its powers and authorities for managing any of our affairs whether in the Cayman Islands or elsewhere and may appoint any persons to be members of a local board, or to be managers or agents, and may fix their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remove any person so appointed and may revoke or vary the delegation.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in any way, whether directly or indirectly, interested in a contract or proposed contract with the company shall declare (whether by specific or general notice) the nature of their interest at a meeting of the directors. Subject to the Nasdaq rules, a director may vote in respect of any contract or proposed contract or arrangement notwithstanding that such director may be interested therein and if such director does so their vote shall be counted and such director may be counted in the quorum at any meeting of the directors at which any such contract or proposed contract or arrangement shall come before the meeting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given to the board of directors by any director to the effect that he is a member or director of (or is otherwise interested in) any specified company or firm and is to be regarded as interested in any contract or transaction which may thereafter be made with that company or firm shall be deemed a sufficient declaration of interest in regard to any contract so made or transaction so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cases each of the directors concerned shall be entitled to vote (and be counted in the quorum) in respect of each resolution except that concerning the director’s own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 any amount standing to the credit of our reserves (including our share premium account, our capital redemption reserve and our profit and loss account), which is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Cayman Islands Companies Act, pass a special resolution allowing the liquidator to do either or both of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shareholders and those liable to contribute to the 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Islands Companies Act, we must keep a register of members and there should be entered therein: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shareholders, a statement of the shares held by each shareholder, and of the amount paid or agreed to be considered as paid, on the shares of each shareholder;</w:t>
            </w:r>
          </w:p>
        </w:tc>
      </w:tr>
    </w:tbl>
    <w:p>
      <w:pPr>
        <w:pStyle w:val="TextBody"/>
        <w:bidi w:val="0"/>
        <w:spacing w:before="0" w:after="0"/>
        <w:ind w:left="960" w:right="0" w:hanging="48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shareholder; and</w:t>
            </w:r>
          </w:p>
        </w:tc>
      </w:tr>
    </w:tbl>
    <w:p>
      <w:pPr>
        <w:pStyle w:val="TextBody"/>
        <w:bidi w:val="0"/>
        <w:spacing w:before="0" w:after="0"/>
        <w:ind w:left="960" w:right="0" w:hanging="48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Cayman Islands Companies Act, the register of members of our company is prima facie evidence of the matters set out therein (that is, the register of members will raise a presumption of fact on the matters referred to above unless rebutted) and a person who has agreed to become a shareholder and who is registered in the register of members is deemed as a matter of the Cayman Islands Companies Act to be a shareholder. Furthermore, as a matter of the Cayman Islands Companies Act, the registration of any person in the register of members as holder of any shares shall be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evidence of such person having have legal title to the shares as set against its name in the 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Rights of Non-resident or Foreign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anbioex4-2.htm"/>
      <w:bookmarkStart w:id="26" w:name="ksanbioex42"/>
      <w:bookmarkEnd w:id="25"/>
      <w:bookmarkEnd w:id="26"/>
      <w:r>
        <w:rPr>
          <w:rFonts w:ascii="Times New Roman;Times;Serif" w:hAnsi="Times New Roman;Times;Serif"/>
          <w:b/>
          <w:i w:val="false"/>
          <w:caps w:val="false"/>
          <w:smallCaps w:val="false"/>
          <w:sz w:val="20"/>
        </w:rPr>
        <w:t>Exhibit 4.2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Anbio Biotechnology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1295"/>
        <w:gridCol w:w="5300"/>
        <w:gridCol w:w="530"/>
      </w:tblGrid>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59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 DEFINITIONS AND INCORPORATION BY REFERENCE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Definitions.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by Reference of Trust Indenture Act.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of Construction.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59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 THE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Issuable in Series.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Terms of Series of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and Authentication.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Registrar and Paying Agent.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 to Hold Money in Trust.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 Lists.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and Exchange.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Mutilated, Destroyed, Lost and Stolen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Defaulted Interest.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59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REDEMPTION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Trustee.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Selection of Securities to be Redeemed.</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Notice of Redemption.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of Redemption Price.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Redeemed in Part.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59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IV COVENANTS </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and Interest.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Reports.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 Extension and Usury Laws.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Existence.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Interest Notice.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Instruments and Acts.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59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V SUCCESSORS </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Company May Merge, Etc.</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Corporation Substituted.</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59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VI DEFAULTS AND REMEDIES </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of Maturity; Rescission and Annulment.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of Indebtedness and Suits for Enforcement by Trustee.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May File Proofs of Claim.</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May Enforce Claims Without Possession of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Money Collected.</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1400"/>
        <w:gridCol w:w="5330"/>
        <w:gridCol w:w="245"/>
      </w:tblGrid>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Suits.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Unconditional Right of Holders to Receive Principal and Interest.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Restoration of Rights and Remedies.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 Remedies Cumulative.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Omission Not Waiver.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for Costs.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73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VII TRUSTEE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Rights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Disclaimer.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Trustee to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Trustee by Merger, etc.</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Disqualification.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Preferential Collection of Claims Against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73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VIII SATISFACTION AND DISCHARGE; DEFEASANCE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 of Indenture.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Trust Funds; Indemnification.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Defeasance of Securities of any Series.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Defeasance.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73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IX AMENDMENTS AND WAIVERS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Trust Indenture Act.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Revocation and Effect of Consents.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or Exchange of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Protected.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Supplemental Indenture.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73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 MISCELLANEOUS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Indenture Act Controls.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by Holders with Other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and Opinion as to Conditions Precedent.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Required in Certificate or Opinion.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for Vote or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1400"/>
        <w:gridCol w:w="6650"/>
        <w:gridCol w:w="245"/>
      </w:tblGrid>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by Trustee and Agents.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Holidays.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Against Others.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Laws and Submission to Jurisdiction.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Adverse Interpretation of Other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Headings, Etc.</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in a Foreign Currency or in ECU.</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Currency.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10.18.</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Applicable Anti-Terrorism and Money Laundering Regulations.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5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XI SINKING FUNDS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Sinking Fund Payments with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Securities for Sinking Fund.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and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 2026</w:t>
      </w:r>
    </w:p>
    <w:p>
      <w:pPr>
        <w:pStyle w:val="TextBody"/>
        <w:bidi w:val="0"/>
        <w:spacing w:before="0" w:after="0"/>
        <w:ind w:left="0" w:right="0" w:hanging="0"/>
        <w:jc w:val="center"/>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745"/>
        <w:gridCol w:w="60"/>
        <w:gridCol w:w="1280"/>
      </w:tblGrid>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310(a)(1)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(a)(3)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(a)(4)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(a)(5)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(b)(1)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(c)(1)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4.02, 10.05</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(c)(1)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(c)(3)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316(a)(1)(A)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317(a)(1)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part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 2026 between Anbio Biotechnology, a company organized under the laws of the Cayman Islands (the “Company”) and [     ] (the “Trustee”).</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Amounts</w:t>
      </w:r>
      <w:r>
        <w:rPr>
          <w:rFonts w:ascii="Times New Roman;Times;Serif" w:hAnsi="Times New Roman;Times;Serif"/>
          <w:b w:val="false"/>
          <w:i w:val="false"/>
          <w:caps w:val="false"/>
          <w:smallCaps w:val="false"/>
          <w:sz w:val="20"/>
        </w:rPr>
        <w:t>” means any additional amounts which are required hereby or by any Security, under circumstances specified herein or therein, to be paid by the Company in respect of certain taxes imposed on Holders specified therein and which are owing to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of the United States Code (or any successor thereto) or any similar federal or state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(x) Saturday, (y) Sunday or (z) day on which state or federally chartered banking institutions in New York, New York are not required to be open.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of any Person means any and all shares, interests, rights to purchase, warrants, options, participations or other equivalents of or interests in (however designated) equity of such Person, but excluding any debt securities convertible into such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Securities</w:t>
      </w:r>
      <w:r>
        <w:rPr>
          <w:rFonts w:ascii="Times New Roman;Times;Serif" w:hAnsi="Times New Roman;Times;Serif"/>
          <w:b w:val="false"/>
          <w:i w:val="false"/>
          <w:caps w:val="false"/>
          <w:smallCaps w:val="false"/>
          <w:sz w:val="20"/>
        </w:rPr>
        <w:t>” means Securities in the form of physical, certificated Securities in registered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above until a successor replaces it in accordance with the terms of this Indenture and thereafter means the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signed in the name of the Company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Request</w:t>
      </w:r>
      <w:r>
        <w:rPr>
          <w:rFonts w:ascii="Times New Roman;Times;Serif" w:hAnsi="Times New Roman;Times;Serif"/>
          <w:b w:val="false"/>
          <w:i w:val="false"/>
          <w:caps w:val="false"/>
          <w:smallCaps w:val="false"/>
          <w:sz w:val="20"/>
        </w:rPr>
        <w:t>” means a written request signed in the name of the Company by its Chairman of the Board, a President or a Vice President, and by its Chief Financial Officer, its Secretary or an Assistant Secretary,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of the execution of this Indenture is [     ], Attention: [     ], or at such other address as the Trustee may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sequestrator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or “default” means any event which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the default rate of interest specified in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Depository</w:t>
      </w:r>
      <w:r>
        <w:rPr>
          <w:rFonts w:ascii="Times New Roman;Times;Serif" w:hAnsi="Times New Roman;Times;Serif"/>
          <w:b w:val="false"/>
          <w:i w:val="false"/>
          <w:caps w:val="false"/>
          <w:smallCaps w:val="false"/>
          <w:sz w:val="20"/>
        </w:rPr>
        <w:t>”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and if at any time there is more than one such person, “Depository” as used with respect to the Securities of any Series shall mean the Depository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ECU</w:t>
      </w:r>
      <w:r>
        <w:rPr>
          <w:rFonts w:ascii="Times New Roman;Times;Serif" w:hAnsi="Times New Roman;Times;Serif"/>
          <w:b w:val="false"/>
          <w:i w:val="false"/>
          <w:caps w:val="false"/>
          <w:smallCaps w:val="false"/>
          <w:sz w:val="20"/>
        </w:rPr>
        <w:t>” means the European Currency Unit as determined by the Commission of the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Currency</w:t>
      </w:r>
      <w:r>
        <w:rPr>
          <w:rFonts w:ascii="Times New Roman;Times;Serif" w:hAnsi="Times New Roman;Times;Serif"/>
          <w:b w:val="false"/>
          <w:i w:val="false"/>
          <w:caps w:val="false"/>
          <w:smallCaps w:val="false"/>
          <w:sz w:val="20"/>
        </w:rPr>
        <w:t>” means any currency or currency unit issued by a government other than the government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Government Obligations</w:t>
      </w:r>
      <w:r>
        <w:rPr>
          <w:rFonts w:ascii="Times New Roman;Times;Serif" w:hAnsi="Times New Roman;Times;Serif"/>
          <w:b w:val="false"/>
          <w:i w:val="false"/>
          <w:caps w:val="false"/>
          <w:smallCaps w:val="false"/>
          <w:sz w:val="20"/>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2.02 evidencing all or part of a Series of Securities, issued to the Depository for such Series or its nominee, and registered in the name of such Depository or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a person in whose name a Security is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amended and supplemented from time to time and shall include the form and terms of particular Series of Securities established as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in respect of the Securities, unless the context otherwise requires, refers to interest payable on the Securities, including any additional interest that may become payable pursuant to Section 6.02(b).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w:t>
      </w:r>
      <w:r>
        <w:rPr>
          <w:rFonts w:ascii="Times New Roman;Times;Serif" w:hAnsi="Times New Roman;Times;Serif"/>
          <w:b w:val="false"/>
          <w:i w:val="false"/>
          <w:caps w:val="false"/>
          <w:smallCaps w:val="false"/>
          <w:sz w:val="20"/>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the Chairman of the Board, the President, any Vice-President, the Treasurer, the Secretary, any Assistant Treasurer or any Assistant Secretary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who is, and which opinion is, acceptable to the Trustee and its counsel. Such legal counsel may be an employee of or counsel to the Company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limited liability company, joint-stock company, trust, unincorporated organization or government or any agency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and any Additional Amounts in respect of,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any officer of the Trustee in its Corporate Trust Office and also means, any vice president, managing director, director, associate, assistant vice president, or any other officer of the Trustee customarily performing functions similar to those performed by any of the above designated officers and also, with respect to a particular corporate trust matter, any other officer to whom any corporate trust matter is referred because of his or her knowledge of and familiarity with a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Series of Securities</w:t>
      </w:r>
      <w:r>
        <w:rPr>
          <w:rFonts w:ascii="Times New Roman;Times;Serif" w:hAnsi="Times New Roman;Times;Serif"/>
          <w:b w:val="false"/>
          <w:i w:val="false"/>
          <w:caps w:val="false"/>
          <w:smallCaps w:val="false"/>
          <w:sz w:val="20"/>
        </w:rPr>
        <w:t>” means each series of debentures, notes or other debt instruments of the Company created pursuant to Sections 2.01 and 2.02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Maturity</w:t>
      </w:r>
      <w:r>
        <w:rPr>
          <w:rFonts w:ascii="Times New Roman;Times;Serif" w:hAnsi="Times New Roman;Times;Serif"/>
          <w:b w:val="false"/>
          <w:i w:val="false"/>
          <w:caps w:val="false"/>
          <w:smallCaps w:val="false"/>
          <w:sz w:val="20"/>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means any indebtedness which is expressly subordinated to the indebtedness evidenced by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in respect of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means the Trust Indenture Act of 1939 (15 U.S. Code Sections 77aaa-77bbbb) as in effect on the date of this Indenture; provided, however, that in the event the Trust Indenture Act of 1939 is amended after such date, “TIA” means, to the extent required by any such amendment, the Trust Indenture Act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28" w:type="dxa"/>
          <w:right w:w="0" w:type="dxa"/>
        </w:tblCellMar>
      </w:tblPr>
      <w:tblGrid>
        <w:gridCol w:w="2930"/>
        <w:gridCol w:w="60"/>
        <w:gridCol w:w="1985"/>
      </w:tblGrid>
      <w:tr>
        <w:trPr/>
        <w:tc>
          <w:tcPr>
            <w:tcW w:w="293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DEFINED IN SECTION </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Law”</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Instrument”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Journal”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Judgment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Legal Holiday”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mandatory sinking fund payment”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Market Exchange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New York Banking Day”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optional sinking fund payment”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Paying Agent”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Required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successor person”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Temporary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Incorporation by Reference of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This Indenture shall also include those provisions of the TIA required to be included herein by the provisions of the Trust Indenture Reform Act of 1990. The following TIA terms used in this Indenture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“institutional trustee” means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and any successor obligor upon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references to “generally accepted accounting principles” shall mean generally accepted accounting principles in effect as of the time when and for the period as to which such accounting principles are to be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“or” is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in the plural include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provisions apply to successive events and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references to agreements and other instruments include subsequent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term “merger” includes a statutory share exchange, and the term “merged” has a correlative meaning;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“herein,” “hereof”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Issuable in Series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Establishment of Terms of Series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(a), and either as to such Securities within the Series or as to the Series generally in the case of Subsections (b) through (t) by a Board Resolution, a supplemental indenture or an Officers’ Certificate pursuant to authority granted under a Board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designation, aggregate principal amount and authorized denominations of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price or prices, (expressed as a percentage of the aggregate principal amount thereof) at which the Securities of the Series will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commence and be payable and any regular record date for the interest payable on any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optional or mandatory sinking fund provisions or conversion or exchangeability provisions upon which Securities of the Series shall be redeemed, purchased, converted or exchanged;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date, if any, after which and the price or prices at which the Securities of the Series may be optionally redeemed or must be mandatorily redeemed and any other terms and provisions of optional or mandatory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other than denominations of $1,000 and any integral multiple thereof, the denominations in which the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the full principal amount, the portion of the principal amount of the Securities of the Series that shall be payable upon declaration of acceleration pursuant to Section 6.02 or provable in bankruptcy;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currency or currencies, including composite currencies, in which payments of principal of, premium or interest, if any, on the Securities of the Series will be payable, if other than the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payments of principal of, premium or interest, if any, on the Securities of the Series will be payable, at the Company’s election or at the election of any Holder, in a currency other than that in which the Securities of the Series are stated to be payable, the period or periods within which, and the terms and conditions upon which, the election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payments of interest, if any, on the Securities of the Series will be payable, at the Company’s election or at the election of any Holder, in cash or additional securities, and the terms and conditions upon which the election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denominated in a currency or currencies other than the currency of the United States of America, the equivalent price of the Securities of the Series in the currency of the United States of America for purposes of determining the voting rights of Holders of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amount of payments of principal, premium or interest may be determined with reference to an index, formula or other method based on a coin or currency other than that in which the Securities of the Series are stated to be payable, the manner in which the amounts will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restrictive covenants or other material terms relating to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whether the Securities of the Series will be issued in the form of global securities or certificates in registered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terms with respect to subordination;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listing on any securities exchange or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additional provisions, if any, related to defeasance and discharge of the offered debt securities;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applicability of any guarantees, which would be governed by New York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 of additional Securities of such Series, unless otherwise provided in such Board Resolution, supplemental Indenture or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Officers shall sign the Securities for the Company by manual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of such Series: (a) if the Trustee, being advised by counsel, determines that such action may not lawfully be taken; or (b) if a Responsible Officer of the Trustee in good faith shall determine that such action would expose the Trustee to personal liability to Holders of any then outstanding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successor that has replaced the Company in accordance with Article 5 has executed an indenture supplemental hereto with the Trustee pursuant to Section 5.01, any of the Securities authenticated or delivered prior to such transaction may, from time to time, at the request of such successor, be exchanged for other Securities executed in the name of the such successor with such changes in phraseology and form as may be appropriate, but otherwise identical to the Securities surrendered for such exchange and of like principal amount; and the Trustee, upon receipt of a Company Order of such successor, shall authenticate and deliver Securities as specified in such order for the purpose of such exchange. If Securities shall at any time be authenticated and delivered in any new name of such successor pursuant to this provision of Section 2.03 in exchange or substitution for or upon registration of transfer of any Securities, such successor, at the option of the Holders but without expense to them, shall provide for the exchange of all Securities then outstanding for Securities authenticated and delivered in such new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Registrar and Paying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with respect to each Series of Securities, at the place or places specified with respect to such Series pursuant to Section 2.02, an office or agency where Securities of such Series may be presented or surrendered for payment (“Paying Agent”) and where Securities of such Series may be surrendered for registration of transfer or exchange (“Registrar”). The Registrar shall keep a register with respect to each Series of Securities and to their transfer and exchange. The Company will give prompt written notice to the Trustee of the name and address, and any change in the name or address, of each Registrar and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or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     ] as the initial Registrar and Paying Agent for each Series unless another Registrar or Paying Agent as the case may be, is appointed prior to the time Securities of that Series are first issued. Each Registrar and Paying Agent shall be entitled to all of the rights, protections, exculpations and indemnities afforded to the Trustee in connection with its roles as Registrar and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Paying Agent to Hold Money in Trust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Securityholders of any Series of Securities all money held by it as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Securityholder Lists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and shall otherwise comply with TIA Section 312(a). If the Trustee is not the Registrar, the Company shall furnish to the Trustee at least [     ]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Any exchange or transfer shall be without charge, except that the Company or the Registrar may require payment of a sum sufficient to cover any tax or other governmental charge required by law; provided that this sentence shall not apply to any exchange pursuant to Section 2.11, 2.08, 3.06 or 9.06.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Securities of any Series for the period beginning at the opening of business [     ]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 Any Registrar appointed pursuant to Section 2.04 shall provide to the Trustee such information as the Trustee may reasonably require in connection with the delivery by such Registrar of Securities upon transfer or exchange of Securities. Each Holder of a Security agrees to indemnify the Company and the Trustee against any liability that may result from the transfer, exchange or assignment of such Holder’s Security in violation of any provision of this Indenture and/or applicable U.S. federal or state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Mutilated, Destroyed, Lost and Stolen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Registrar,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Registrar (i) evidence to their satisfaction of the destruction, loss or theft of any Security and (ii) such security or indemnity as may be required by them to save each of them and any agent of either of them harmless, then, in the absence of notice to the Company or the Registrar that such Security has been acquired by a bona fide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Outstanding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until the Trustee receives proof satisfactory to it that the replaced Security is held by a bona fide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or an Affiliate of any thereof)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does not cease to be outstanding because the Company or an Affiliate holds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Treasury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Securities of a Series have concurred in any request, demand, authorization, direction, notice, consent or waiver Securities of a Series owned by the Company or an Affiliate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Temporary Securities shall be substantially in the form of definitive Securities but may have variations that the Company considers appropriate for temporary Securities. Without unreasonable delay, the Company shall prepare and the Trustee upon written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Registrar and the Paying Agent shall forward to the Trustee or its agent any Securities surrendered to them for transfer, exchange, payment or conversion. The Trustee and no one else shall cancel, in accordance with its standard procedures, all Securities surrendered for transfer, exchange, payment, conversion or cancellation and shall deliver the cancelled Securities to the Company. No Security shall be authenticated in exchange for any Security cancelled pursuant to this Section 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to the extent permitted by law, purchase Securities in the open market or by tender offer at any price or by private agreement. Any Securities purchased or otherwise acquired by the Company or any of its Subsidiaries prior to the final maturity of such Securities may, to the extent permitted by law, be reissued or resold or may, at the option of the Company, be surrendered to the Trustee for cancellation. Any Securities surrendered for cancellation may not be reissued or resold and shall be promptly cancelled by the Trustee, and the Company may not hold or resell such Securities or issue any new Securities to replace any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shall pay defaulted interest, plus, to the extent permitted by law, any interest payable on the defaulted interest at the Default Rate, to the persons who are Security holders of the Series on a subsequent special record date. The Company shall fix the record date and payment date. At least [     ] days before the record date, the Company shall mail to the Trustee and the Paying Agent and to each Securityholder of the Series a notice that states the record date, the payment date and the amount of interest to be paid. The Company may pay defaulted interest in any other lawful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Board Resolution, a supplemental indenture hereto or an Officers’ Certificate shall establish whether the Securities of a Series shall be issued in whole or in part in the form of one or more Global Securities and the Depository for such Global Security 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(A)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within 90 days of such event, (B) the Company executes and delivers to the Trustee an Officers’ Certificate to the effect that such Global Security shall be so exchangeable or (C) an Event of Default with respect to the Securities represented by such Global Security shall have happened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provided in this Section 2.14(b),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Securities issued in exchange for a Global Security or any portion thereof shall be issued in definitive, fully registered form, without interest coupons, shall have an aggregate principal amount equal to that of such Global Security or portion thereof to be so exchanged, shall be registered in such names and be in such authorized denominations as the Depository shall designate and shall bear the applicable legends provided for herein. Any Global Security to be exchanged in whole shall be surrendered by the Depository to the Trustee, as Registrar. With regard to any Global Security to be exchanged in part, either such Global Security shall be so surrendered for exchange or, if the Registrar is acting as custodian for the Depository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Depository or an authorized representative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registered Holder may grant proxies and otherwise authorize any Person, including participants in the Depository and persons that may hold interests through participants in the Depository, to take any action which a Holder is entitled to take under this Indenture or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of the occurrence of any of the events specified in 2.14(b)(i), the Company will promptly make available to the Trustee a reasonable supply of Certificated Securities in definitive, fully registered form, without interest coupons. If (A) an event described in Section 2.14(b)(i)(A) or (B) occurs and definitive Certificated Securities are not issued promptly to all beneficial owners or (B) the Registrar receives from a beneficial owner instructions to obtain definitive Certificated Securities due to an event described in Section 2.14(b)(i)(C) and definitive Certificated Securities are not issued promptly to any such beneficial owner, the Company expressly acknowledges, with respect to the right of any Holder to pursue a remedy pursuant to Section 6.07 hereof, the right of any beneficial owner of Securities to pursue such remedy with respect to the portion of the Global Security that represents such beneficial owner’s Securities as if such definitive certificated Securities had been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Notwithstanding any provision to the contrary in this Indenture, so long as a Global Security remains outstanding and is held by or on behalf of the Depository, transfers of a Global Security, in whole or in part, or of any beneficial interest therein, shall only be made in accordance with Section 2.07, this Section 2.14(b) and the rules and procedures of the Depository for such Global Security to the extent applicable to such transaction and as in effect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Global Security issued hereunder shall bear a legend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Depository,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other provisions of this Indenture, unless otherwise specified as contemplated by Section 2.02, payment of the principal of and interest, if any, on any Global Security shall be made to the Holder thereof at their registered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all times the Securities are held in book-entry form with a Depository, (i) the Trustee may deal with such Depository as the authorized representative of the Holders, (ii) the rights of the Holders shall be exercised only through the Depository and shall be limited to those established by law and agreement between the Holders and the Depository and/or direct participants of the Depository, (iii) the Depository will make book-entry transfers among the direct participants of the Depository and will receive and transmit distributions of principal and interest on the Securities to such direct participants; and (iv) the direct participants of the Depository shall have no rights under this Indenture, or any supplement hereto, under or with respect to any of the Securities held on their behalf by the Depository, and the Depository may be treated by the Trustee and its agents, employees, officers and directors as the absolute owner of the Securities for all purposes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“ISIN” or other identification numbers (if then generally in use), and, if so, the Trustee shall use “CUSIP”, “ISIN” or such other identification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Notice to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and Registrar in writing of the redemption date and the principal amount of Series of Securities to be redeemed. The Company shall give the notice at least [     ] days before the redemption date (or such shorter notice as may be acceptable to the Trustee and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Selection of Securities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a Board Resolution, a supplemental indenture or an Officers’ Certificate, if less than all the Securities of a Series are to be redeemed, the Registrar shall select the Securities of the Series to be redeemed in accordance with its customary procedures. The Registrar shall make the selection from Securities of the Series outstanding not previously called for redemption. The Registrar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2.02(g), the minimum principal denomination for each Series and integral multiples thereof. Provisions of this Indenture that apply to Securities of a Series called for redemption also apply to portions of Securities of that Series called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a supplemental indenture hereto or an Officers’ Certificate, at least [     ] days but not more than [     ] days before a redemption date, the Company shall mail a notice of redemption by first-class mail to each Holder whose Securities are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of the Series to be redeemed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name and address of the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Securities of the Series called for redemption must be surrendered to the Paying Agent to collect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interest on Securities of the Series called for redemption ceases to accrue on and after the redemption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information as may be required by the terms of the particular Series or the Securities of a Series being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written request, the Trustee shall distribute the notice of redemption prepared by the Company in the Company’s name and at its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or published as provided in Section 3.03,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date, the Company shall deposit with the Paying Agent money sufficient to pay the redemption price of and accrued interest, if any, on all Securities to be redeemed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Securities Redeemed in Part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under the terms of a particular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installment of principal or interest shall be considered paid on the date it is due if the Paying Agent (other than the Company) holds by [     ] [a].m., New York City time, on that date money, deposited by the Company or an Affiliate thereof, sufficient to pay such installment. The Company shall (in immediately available funds), to the fullest extent permitted by law, pay interest on overdue principal and overdue installments of interest at the rate borne by the Securities per annum;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payment of the principal of and interest on the Securities shall be made at the office or agency of the Company maintained for that purpose in [     ] (which shall initially be [     ], the Paying Agent)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at the option of the Company payment of interest may be made by check mailed to the address of the Person entitled thereto as such address appears in the register;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 Holder with an aggregate principal amount in excess of $[     ] will be paid by wire transfer in immediately available funds at the election of such Holder if such Holder has provided wire transfer instructions to the Company at least [     ] Business Days prior to the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Securities are outstanding, the Company shall (i) file with the SEC within the time periods prescribed by its rules and regulations and (ii) furnish to the Trustee and the Holders of the Securities within [     ] days after the date on which the Company would be required to file the same with the SEC pursuant to its rules and regulations (giving effect to any grace period provided by Rule 12b-25 under the Exchange Act), all quarterly and annual financial information required to be furnished or filed with the SEC pursuant to Section 13 and Section 15(d) of the Exchange Act and, with respect to the annual consolidated financial statements only, a report thereon by the Company’s independent auditors. The Company also shall comply with the other provisions of TIA Section 314(a).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Company shall not be required to file any report or other information with the SEC if the SEC does not permit such filing, although such reports shall be furnished to the Trustee. Documents filed by the Company with the SEC via the SEC’s EDGAR system (or any successor thereto) will be deemed furnished to the Trustee and the Holders of the Securities as of the time such documents are filed via EDGAR (or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     ] days after the end of each fiscal year of the Company, an officers certificate signed by two of the Company’s officers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in reasonable detail and the efforts to remedy the same). For purposes of this Section 4.03, compliance shall be determined without regard to any grace period or requirement of notice provided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     ] days after the occurrence thereof, written notice in the form of an Officers’ Certificate of any Event of Default described in Section 6.01(e), (f), (g) or (h) and any event of which it becomes aware that with the giving of notice or the lapse of time would become such an Event of Default, its status and what action the Company is taking or proposes to take with respect thereto. For the avoidance of doubt, a breach of a covenant under an Instrument that is not a payment default and that has not given rise to a right of acceleration under such Instrument shall not trigger the requirement to provide notice under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the Company will do or cause to be done all things necessary to preserve and keep in full force and effect its corporate existence and the corporate, partnership or other existence of each Subsidiary in accordance with the respective organizational documents of each Subsidiary and the rights (charter and statutory), licenses and franchises of the Company and its Subsidiaries; provided, however, that the Company shall not be required to preserve any such right, license or franchise, or the corporate, partnership or other existence of any Subsidiary, if the Board of Directors shall determine that the preservation thereof is no longer desirable in the conduct of the business of the Company and its Subsidiaries taken as a whole and that the loss thereof is not adverse in any material respect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and shall cause each of its Subsidiaries to, pay prior to delinquency all taxes, assessments and governmental levies, except as contested in good faith and by appropriate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Additional Interest Notice</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is required to pay additional interest to Holders of Securities pursuant to Section 6.02(b) hereof, the Company shall provide a direction or order in the form of a written notice to the Trustee (and if the Trustee is not the Paying Agent, the Paying Agent) of the Company’s obligation to pay such additional interest no later than [     ] Business Days prior to date on which any such additional interest is scheduled to be paid. Such notice shall set forth the amount of additional interest to be paid by the Company on such payment date and direct the Trustee (or, if the Trustee is not the Paying Agent, the Paying Agent) to make payment to the extent it receives funds from the Company to do so. The Trustee shall not at any time be under any duty or responsibility to any Holder to determine whether additional interest is payable, or with respect to the nature, extent, or calculation of the amount of additional interest owed, or with respect to the method employed in such calculation of additional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Further Instruments and 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When Company May Merge,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consolidate with, enter into a binding share exchange, or merge into any other Person in a transaction in which it is not the surviving entity, or sell, assign, convey, transfer or lease or otherwise dispose of all or substantially all of its properties and assets to any Person (a “successor person”),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successor person (if any) is a corporation, partnership, trust or other entity organized and validly existing under the laws of the Cayman Islands and expressly assumes by a supplemental indenture executed and delivered to the Trustee, in form satisfactory to the Trustee, the due and punctual payment of the principal of, and any interest on, all Securities and the performance or observance of every covenant of this Indenture on the part of the Company to be performed or observed;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the transaction, no Default or Event of Default, shall have occurred and be continuing;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delivered to the Trustee, prior to the consummation of the proposed transaction, an Officers’ Certificate to the foregoing effect and an Opinion of Counsel stating that the proposed transaction and such supplemental indenture comply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Successor Corporation Substituted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sale, lease, conveyance or other disposition of all or substantially all of the assets of the Company in accordance with Section 5.01, the successor person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lease, conveyance or other disposition of all or substantially all of the assets of the Company shall not be released from the obligation to pay the principal of and interest, if any, 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any principal of any Security of that Series at its Maturity;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deposit of any sinking fund payment, when and as due in respect of any Security of that Series;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fails to perform or comply with any of its other covenants or agreements contained in the Securities or in this Indenture (other than a covenant or agreement a default in whose performance or whose breach is specifically dealt with in clauses (a), (b) or (c) of this Section 6.01) and the default continues for 60 days after notice is given as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or any other payment obligation of, the Company or any Subsidiary (an “Instrument”) with a principal amount then, individually or in the aggregate, outstanding in excess of $[     ], whether such indebtedness now exists or shall hereafter be created, is not paid at Maturity or when otherwise due or is accelerated, and such indebtedness is not discharged, or such default in payment or acceleration is not cured or rescinded, within a period of 30 days after there shall have been given, by registered or certified mail, to the Company by the Trustee or to the Company and the Trustee by the Holders of at least [     ]% in aggregate principal amount of the outstanding Securities of that Series a written notice specifying such default and requiring the Company to cause such indebtedness to be discharged or cause such default to be cured or waived or such acceleration to be rescinded or annulled and stating that such notice is a “Notice of Default” hereunder. A payment obligation (other than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the Company or any Subsidiary) shall not be deemed to have matured, come due, or been accelerated to the extent that it is being disputed by the relevant obligor or obligors in good faith. For the avoidance of doubt, the Maturity of an Instrument is the Maturity as set forth in that Instrument, as it may be amended from time to time in accordance with the terms of that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or any Subsidiary fails to pay one or more final and non-appealable judgments entered by a court or courts of competent jurisdiction, the aggregate uninsured or unbonded portion of which is in excess of $[     ], if the judgments are not paid, discharged, waived or stayed within [     ]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or any Subsidiary of the Company, pursuant to or within the meaning of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or generally is unable to pay its debts as the same become due;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court of competent jurisdiction enters an order or decree under any Bankruptcy Law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or any of its Subsidiaries in an involuntary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any of its Subsidiaries for all or substantially all of the property of the Company or any such Subsidiary;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case of each of clause (i), (ii) and (iii), the order or decree remains unstayed and in effect for [     ] consecutive days;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other Event of Default provided with respect to Securities of that Series, which is specified in a Board Resolution, a supplemental indenture hereto or an Officers’ Certificate, in accordance with Section 2.02(i).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clause (d) above is not an Event of Default until the Trustee notifies the Company, or the Holders of at least [     ]% in aggregate principal amount of the Securities then outstanding notify the Company and the Trustee, in writing of the default, and the Company does not cure the default within 60 days after receipt of such notice. The notice given pursuant to this Section 6.01 must specify the default, demand that it be remedied and state that the notice is a “Notice of Default.” When any default under this Section 6.01 is cured, it ceases.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charged with knowledge of any Event of Default unless written notice thereof shall have been given to a Trust Officer at the Corporate Trust Office of the Trustee by the Company, a Paying Agent, any Holder or any agent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(other than an Event of Default specified in clause (g) or (h) of Section 6.01) occurs and is continuing with respect to any Securities of any Series, then in every such case, the Trustee may, by notice to the Company, or the Holders of at least 25% in aggregate principal amount of the Securities of that Series (or, if any Securities of that Series are Discount Securities, such portion of the principal amount as may be specified in the terms of such Securities) then outstanding may, by notice to the Company and the Trustee, declare all unpaid principal of, and accrued and unpaid interest on to the date of acceleration, the Securities of that Series then outstanding (if not then due and payable) to be due and payable upon any such declaration, and the same shall become and be immediately due and payable. If an Event of Default specified in clause (g) or (h) of Section 6.01 occurs, all unpaid principal of the Securities then outstanding, and all accrued and unpaid interest thereon to the date of acceleration, shall ipso facto become and be immediately due and payable without any declaration or other act on the part of the Trustee or any Holder. The Holders of a majority in aggregate principal amount of the Securities of that Series then outstanding by notice to the Trustee may rescind an acceleration of such Securities of that Series and its consequences if (a) all existing Events of Default, other than the nonpayment of the principal of the Securities which has become due solely by such declaration of acceleration, have been cured or waived; (b) to the extent the payment of such interest is lawful, interest (calculated at the Default Rate) on overdue installments of interest and overdue principal, which has become due otherwise than by such declaration of acceleration, has been paid; (c) the rescission would not conflict with any judgment or decree of a court of competent jurisdiction; and (d) all payments due to the Trustee and any predecessor Trustee under Section 7.07 have been made. No such rescission shall affect any subsequent default or impair any right consequent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of provision of this Article 6, at the election of the Company in its sole discretion, the sole remedy under this Indenture for an Event of Default relating to the failure to comply with Section 4.02, and for any failure to comply with the requirements of Section 314(a)(1) of the TIA, will consist, for the 180 days after the occurrence of such an Event of Default, exclusively of the right to receive additional interest on the Securities at a rate equal to 0.50% per annum of the aggregate principal amount of the Securities then outstanding up to, but not including, the 181st day thereafter (or, if applicable, the earlier date on which the Event of Default relating to Section 4.02 is cured or waived). Any such additional interest will be payable in the same manner and on the same dates as the stated interest payable on the Securities. In no event shall additional interest accrue under the terms of this Indenture at a rate in excess of 0.50% per annum, in the aggregate, for any violation or default caused by the failure of the Company to be current in respect of its Exchange Act reporting obligations. If the Event of Default is continuing on the 181st day after an Event of Default relating to a failure to comply with Section 4.02, the Securities will be subject to acceleration as provided in this Section 6.02. The provisions of this Section 6.02(b) will not affect the rights of Holders in the event of the occurrence of any other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elect to pay additional interest as the sole remedy during the first 180 days after the occurrence of an Event of Default relating to the failure to comply with Section 4.02 in accordance with the immediately preceding paragraph, the Company shall notify all Holders and the Trustee and Paying Agent of such election on or before the close of business on the fifth Business Day after the date on which such Event of Default otherwise would occur. Upon a failure by the Company to timely give such notice or pay additional interest, the Securities will be immediately subject to acceleration as otherwise provided in this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in the payment of principal, interest, if any, specified in clause (a) or (b) of Section 6.01 occurs and is continuing, the Trustee may recover judgment in its own name and as trustee of an express trust against the Company or another obligor on the Securities for the whole amount of principal, and accrued interest remaining unpaid, if any, together with, to the extent that payment of such interest is lawful, interest on overdue principal, on overdue installments of interest, if any, in each case at the Default Rate,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Trustee May Enforce Claims Without Possession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the payment of all amounts due the Trustee under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(except actions for payment of overdue principal and interest),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not less than [     ]%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satisfactory to it against the costs, expenses and liabilities to be incurred in compliance with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     ] days after its receipt of such notice, request and offer of indemnity has failed to institute any such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     ]-day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Unconditional Right of Holders to Receive 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provisions of Section 6.01, the Trustee shall have the right to decline to follow any such direction if the Trustee in good faith shall, by a Responsible Officer of the Trustee, determine that the proceeding so directed would involve the Trustee in personal liability or would be unduly prejudicial to the rights of another Holder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9.02, 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     ]%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implied duties, covenants or obligations shall be deemed to be imposed upon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on their face to the requirements of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its own negligent action, its own negligent failure to act or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Section 7.01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provision of this Indenture that in any way relates to the Trustee is subject to paragraph (a), (b) and (c)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refuse to perform any duty or exercise any right or power unless it receives an indemnity satisfactory to it against any loss, liability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Indenture shall require the Trustee to risk or expend its own funds or otherwise incur liability, financial or otherwise, in the performance of any of its duties, or in the exercise of any of its rights or powers, if it shall have reasonable grounds for believing that repayment of such funds or indemnity satisfactory to it against such risk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Paying Agent, the Registrar and any authenticating agent shall be entitled to the same rights, indemnities, protections and immunities afforded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have no duty to monitor the performance or compliance of the Company with its obligations hereunder or any under supplement hereto, nor shall it have any liability in connection with the malfeasance or nonfeasance by the Company. The Trustee shall have no liability in connection with compliance by the Company with statutory or regulatory requirements related to this Indenture, any supplement or any Securities issued pursuant hereto 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fully protected in acting or refraining from acting as a result of its reasonable belief that any resolution, certificate, statement, instrument, opinion, report, notice, request, consent, order, direction, approval or other paper or document was genuine and had been signed or presented by the proper person. The Trustee need not investigate any fact or matter stated in the document, but the Trustee, in its discretion, may make such further inquiry or investigation into such facts or matters as it sees 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and shall not be responsible for the misconduct or negligence of, or for the supervision of, any agent appointed with due care. No Depository shall be deemed an agent of the Trustee and the Trustee shall not be responsible for any act or omission by any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or pursuant to this Indenture at the request, order or direction of any of the Holders of Securities, unless such Holders shall have offered to the Trustee reasonable security or indemnity satisfactory to it against the costs, expenses and liabilities which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Individual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an Affiliate with the same rights it would have if it were not Trustee. Any Agent may do the same with like rights. The Trustee is also subject to Sections 7.10 and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 as to the validity or adequacy of this Indenture or the Securities and the recitals contained herein and in the Securities shall be taken as statements of the Company and not of the Trustee, and the Trustee has no responsibility for such recitals. The Trustee shall not be accountable for the Company’s use or application of the proceeds from the Securities or for monies paid over to the Company pursuant to this Indenture, and it shall not be responsible for any statement in the Securities other than its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with respect to the Securities of any Series and if a Responsible Officer of the Trustee has knowledge or receives written notice of such event, the Trustee shall mail to each Securityholder of the Securities of that Series, notice of a Default or Event of Default within [     ] days after it occurs or, if later, after a Responsible Officer of the Trustee has actual knowledge of such Default or Event of Default. Except in the case of a Default or Event of Default in payment of principal of or interest on any Security of any Series, including any additional interest that may become payable pursuant to Section 6.02(b), the Trustee may withhold the notice so long as the Trustee in good faith determines that withholding the notice is in the interests of Securityholders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Reports by Trustee to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     ] days after [     ] in each year, the Trustee shall transmit by mail to all Securityholders, as their names and addresses appear on the register kept by the Registrar, a brief report dated as of such [     ], in accordance with, and to the extent required under, TIA Section 313.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such compensation for its services as shall be agreed upon in writing. The Trustee’s compensation shall not be limited by any law on compensation of a trustee of an express trust. The Company shall reimburse the Trustee upon request for all reasonable out-of-pocket expenses, disbursements and advances incurred by it. Such expenses shall include the reasonable compensation and expenses of the Trustee’s agents, counsel and other persons not regularly in its employ.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defend and hold harmless the Trustee and its officers, directors, employees, representatives and agents, from and against and reimburse the Trustee for any and all claims, expenses, obligations, liabilities, losses, damages, injuries (to person, property, or natural resources), penalties, stamp or other similar taxes, actions, suits, judgments, reasonable costs and expenses (including reasonable attorney’s and agent’s fees and expenses) of whatever kind or nature regardless of their merit, demanded, asserted or claimed against the Trustee directly or indirectly relating to, or arising from, claims against the Trustee by reason of its participation in the transactions contemplated hereby, including without limitation all reasonable costs required to be associated with claims for damages to persons or property, and reasonable attorneys’ and consultants’ fees and expenses and court costs except to the extent caused by the Trustee’s negligence or willful misconduct. The provisions of this Section 7.07 shall survive the termination of this Agreement or the earlier resignation or removal of the Trustee. The Company shall defend any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 or delayed. This indemnification shall apply to officers, directors, employees, shareholders and agents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need not reimburse any expense or indemnify against any loss liability incurred by the Trustee or by any officer, director, employee, shareholder or agent of the Trustee through negligence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the Trustee shall have a lien prior to the Securities of any Series on all money or property held or collected by the Trustee, except that held in trust to pay principal and interest on particular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6.01(f) or (g) occurs, the expenses and the compensation for the services are intended to constitute expenses of administration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Replacement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with respect to the Securities of one or more Series by so notifying the Company. The Holders of a majority in principal amount of the Securities of any Series may remove the Trustee with respect to that Series by so notifying the Trustee and the Company. The Company may remove the Trustee with respect to Securities of one or more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 or an order for relief is entered with respect to the Trustee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     ] days after the retiring Trustee resigns or is removed, the retiring Trustee, the Company or the Holders of at least [     ]% in principal amount of the Securities of the applicable Series may petition any court of competent jurisdiction for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and subject to the payment of any and all amounts then due and owing to the retiring Trustee,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7.08, the Company’s obligations under Section 7.07 hereof shall continue for the benefit of the retiring trustee with respect to expenses and liabilities incurred by it prior to such replacement.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Successor Trustee by Merger,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the successor corporation without any further act shall be the successor Trustee with the same effect as if the successor Trustee had been named as the Trustee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Section 310(a)(1), (2) and (5). The Trustee shall always have a combined capital and surplus of at least $[     ] as set forth in its most recent published annual report of condition. The Trustee shall comply with TIA Section 310(b).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Preferential Collection of Claims Against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Section 311(a), excluding any creditor relationship listed in TIA Section 311(b). A Trustee who has resigned or been removed shall be subject to TTA Section 311(a) to the extent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Order cease to be of further effect (except as hereinafter provided in this Section 8.01), and the Trustee, on the demand of and at the expense of the Company, shall execute proper instruments acknowledging satisfaction and discharge of this Indenture, when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theretofore authenticated and delivered (other than Securities that have been destroyed, lost or stolen and that have been replaced or paid) have been delivered to the Trustee for cancellation;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Securities not theretofore delivered to the Trustee for cancellation have become due and payable,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become due and payable,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become due and payable at their Stated Maturity within [     ],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are to be called for redemption within [     ] under arrangements satisfactory to the Trustee for the giving of notice of redemption by the Trustee in the name, and at the expense, of the Company,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are deemed paid and discharged pursuant to section 8.03, as applicable; and the Company, in the case of (1), (2) or (3) above, has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all other sums payable hereunder by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meeting the applicable requirements of Sections 10.04 and 10.05 and each stating that all conditions precedent herein relating to the satisfaction and discharge of this Indenture have been complied with and the Trustee receives written demand from the Company to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under Section 7.07, and, if money shall have been deposited with the Trustee pursuant to clause (a) of this Section, the provisions of Sections 2.04, 2.07, 2.08, 8.01 8.02 and 8.05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Application of Trust Funds;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8.03 or 8.04.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pay and shall indemnify the Trustee and the Agents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in accordance with the terms of this Indenture, deliver or pay to the Company from time to time, upon Company Request and at the expense of the Company any U.S. Government Obligations or Foreign Government Obligations or money held by it pursuant to this Indenture as provided in Sections 8.03 or 8.04 which, in the opinion of a nationally recognized firm of independent certified public accountants, expressed in a written certification thereof and delivered to the Trustee together with such Company Request,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Legal Defeasance of Securities of any Series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8.03 is otherwise specified, pursuant to Section 2.02(s), to be inapplicable to Securities of any Series, the Company shall be deemed to have paid and discharged the entire indebtedness on all the outstanding Securities of such Series on the [     ]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Sections 2.04, 2.07, 2.08, 2.14, 8.02, 8.03 and 8.05;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 and immunities of the Trustee hereunder;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deposited or caused to be deposited irrevocably with the Paying Agent as trust funds in trust for the purpose of making the following payments, specifically pledged as security for and dedicated solely to the benefit of the Holders of such Securities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public accountants expressed in a written certification thereof delivered to the Trustee and the Paying Agent, to pay and discharge each installment of principal (including mandatory sinking fund or analogous payments) of and interest, if any, on all the Securities of such Series on the dates such installments of interest or principal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Default or Event of Default with respect to the Securities of such Series shall have occurred and be continuing on the date of such deposit or during the period ending on the [     ]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deposit shall not result in the trust arising from such deposit constituting an investment company (as defined in the Investment Company Act of 1940, as amended), or such trust shall be qualified under such Act or exempt from regulation thereunder;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8.04 is otherwise specified pursuant to Section 2.02(s) to be inapplicable to Securities of any Series, on and after the [     ] day after the date of the deposit referred to in subparagraph (a) hereof, the Company may omit to comply with any term, provision or condition set forth under Sections 4.02, 4.03, 4.04, 4.05, 4.06, and 5.01 as well as any additional covenants contained in a supplemental indenture hereto for a particular Series of Securities or a Board Resolution or an Officers’ Certificate delivered pursuant to Section 2.02(s) (and the failure to comply with any such covenants shall not constitute a Default or Event of Default under Section 6.01) and the occurrence of any event described in clause (e) of Section 6.01 shall not constitute a Default or Event of Default hereunder, with respect to the Securities of such Series,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8.04, the Company has deposited or caused to be irrevocably deposited (except as provided in Section 8.02(c)) with the Paying Agent as trust funds in trust,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certified public accountants expressed in a written certification thereof delivered to the Paying Agent, to pay principal and interest, if any, on and any mandatory sinking fund in respect of the Securities of such Series on the dates such installments of interest or principal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 or during the period ending on the [     ]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Opinion of Counsel confirming that Holders of the Securities of such Series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and an Opinion of Counsel, each stating that all conditions precedent herein provided for relating to the defeasance contemplated by this Section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all liability of the Paying Agent with respect to that money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AND WAIVERS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Without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amend or supplement this Indenture or the Securities of one or more Series without the consent of any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make any change that does not adversely affect the rights of any Securityholder;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provide for the issuance of and establish the form and terms and conditions of Securities of any Series as permitted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comply with requirements of the TIA and any rules promulgated under the TIA;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add to the covenants of the Company for the equal and ratable benefit of the Holders or to surrender any right, power or option conferred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supplement made solely to conform the provisions of this Indenture or the Securities of any Series to the description thereof contained in the final prospectus relating to such Series will be deemed not to adversely affect the rights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enter into a supplemental indenture with the written consent of the Holders of at least a majority in principal amount of the outstanding Securities of all Series affected by such supplemental indenture, taken together as one class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all Series affected by such waiver by notice to the Trustee, taken together as one class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Securityholder affected, an amendment or waiver may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amount of Securities whose Holders must consent to an amendment, supplement or waiver, except to increase any such amount or to provide that certain provisions of this Indenture cannot be modified, amended or waived without the consent of the Holder of each outstanding Security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amount of interest, or change the interest payment time, on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waive a redemption payment or alter the redemption provisions (other than any alteration that would not materially adversely affect the legal rights of any Holder under this Indenture) or the price at which the Company is required to offer to purchase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principal or change the Stated Maturity of any Security or reduce the amount of, or postpone the date fixed for, the payment of any sinking fund or analogous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principal amount payable of any Security upon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place or currency of payment of principal of or interest, if any, on any Security other than that stated in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or, or interest on, the Securities of such Holder on or after the due dates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impair the right to institute suit for the enforcement of any payment on, or with respect to,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change in Sections 10.15 or 10.16;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change the ranking of the Securities;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any other change which is specified in a Board Resolution, a supplemental indenture hereto or an Officers’ Certificate as a limitation under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amendment or waiver shall always be subject to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Compliance with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 hereto that complies with the TIA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waiver once effective shall bind every Securityholder of each Series affected by such amendment or waiver unless it is of the type described in any of clauses (a) through (g) of Section 9.03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val="false"/>
          <w:caps w:val="false"/>
          <w:smallCaps w:val="false"/>
          <w:sz w:val="20"/>
          <w:u w:val="single"/>
        </w:rPr>
        <w:t>Notation on or Exchange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amendment, supplement or waiver changes the terms of a Security, the Trustee may require the Holder of the Security to deliver it to the Trustee and the Trustee may place an appropriate notation on the Security about the changed terms and return it to the Holder. Alternatively, if the Company or the Trustee so determines, the Company shall issue and the Trustee shall authenticate upon request new Securities of that Series that reflect the changed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9.07. </w:t>
      </w:r>
      <w:r>
        <w:rPr>
          <w:rFonts w:ascii="Times New Roman;Times;Serif" w:hAnsi="Times New Roman;Times;Serif"/>
          <w:b w:val="false"/>
          <w:i w:val="false"/>
          <w:caps w:val="false"/>
          <w:smallCaps w:val="false"/>
          <w:sz w:val="20"/>
          <w:u w:val="single"/>
        </w:rPr>
        <w:t>Trustee Protected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Opinion of Counsel or an Officer’s Certificate, or both stating that the execution of such supplemental indenture is authorized or permitted by this Indenture. The Trustee shall sign all supplemental indentures, except that the Trustee need not sign any supplemental indenture that adversely affects its rights, duties or indemnities.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9.08.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under this Article, this Indenture shall be modified in accordance therewith, and each such supplemental indenture shall form part of this Indenture for all purposes with respect to the relevant Series; and every Holder of Securities of the relevant Series theretofore or thereafter authenticated and delivered hereunder shall be bound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Trust Indenture Act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the Trustee, the Paying Agent or the Registrar to another is duly given if in writing and delivered in person or mailed by first-class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br/>
        <w:t>Attn: [     ]</w:t>
        <w:br/>
        <w:t>Fax: [     ]</w:t>
      </w:r>
    </w:p>
    <w:p>
      <w:pPr>
        <w:pStyle w:val="TextBody"/>
        <w:bidi w:val="0"/>
        <w:spacing w:before="0" w:after="0"/>
        <w:ind w:left="0" w:right="0" w:firstLine="32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Registrar or Paying Agent: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each Agent by notice to each other may designate additional or different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published in the manner provided above, within the time prescribed, it is duly given, whether or not the Securityholder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a notice or communication to Securityholders, it will mail a copy to the Trustee and each Agent at the same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 notice is required to be given by the Company, such notice may be given by the Trustee or Registrar on the Company’s behalf (and the Company will make any notice it is required to give to Holders available on its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Communication by Holders with Other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Section 312(b) with other Securityholders of that Series or any other Series with respect to their rights under this Indenture or the Securities of that Series or all Series. The Company, the Trustee, the Registrar and anyone else shall have the protection of TIA Section 312(c).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counsel, all such conditions precedent (including any covenants, compliance with which constitutes a condition precedent)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Section 314(a)(4)) shall comply with the provisions of TIA Section 314(e) and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Record Date for Vote or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in the event deposits have been made pursuant to Section 11.02, the Trustee) may set a record date for purposes of determining the identity of Holders entitled to vote or consent to any action by vote or consent authorized or permitted under this Indenture, which record date shall not be more than [     ] days prior to the date of the commencement of solicitation of such action. Notwithstanding the provisions of Section 9.05, if a record date is fixed, those persons who were Holders of Securities at the close of business on such record date (or their duly designated proxies), and only those persons, shall be entitled to take such action by vote or consent or to revoke any vote or consent previously given, whether or not such persons continue to be Holders after such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val="false"/>
          <w:caps w:val="false"/>
          <w:smallCaps w:val="false"/>
          <w:sz w:val="20"/>
          <w:u w:val="single"/>
        </w:rPr>
        <w:t>Rules by Trustee and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 meeting of Securityholders of one or more Series. Any Agent may make reasonable rules and set reasonable requirements for its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Governing Laws and Submission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THE LAWS OF THE STATE OF NEW YORK EXCLUDING ANY RULE OF LAW THAT WOULD CAUSE THE APPLICATION OF THE LAWS OF ANY JURISDICTION OTHER THAN THE STATE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non-exclusive jurisdiction of such court in any suit, action or proceeding. The Company, as long as any Securities remain outstanding or the parties hereto have any obligation under this Indenture, shall have an authorized agent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 proceeding and, if it fails to maintain such agent, any such process or summons may be served by mailing a copy thereof by registered mail, or a form of mail substantially equivalent thereto, addressed to it at its address as provided for notices hereunder. The Company hereby appoints [     ], as its agent for such purposes, and covenants and agrees that service of process in any legal action or proceeding may be made upon it at such office of such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 Subsidiary. Any such indenture, loan or debt agreement may not be used to interpret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successor. All agreements of the Trustee in this Indenture shall bind its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Table of Contents, Headings,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Securities in a Foreign Currency or in ECU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Board Resolution, a supplemental indenture hereto or an 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10.16,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Company and all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Compliance with Applicable Anti-Terrorism and Money Laundering 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laws, rules, regulations and executive orders in effect from time to time applicable to banking institutions, including those relating to the funding of terrorist activities and money laundering (“Applicable Law”), the Trustee is required to obtain, verify and record certain information relating to individuals and entities which maintain a business relationship with the Trustee. Accordingly, each of the parties agree to provide to the Trustee, upon its request from time to time such identifying information and documentation as may be available for such party in order to enable the Trustee to comply with the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the Securities of a Series, except as otherwise permitted or required by any form of Security of such Series issued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Registrar, together with an Officers’ Certificate with respect thereto, not later than [     ] days prior to the date on which the Registrar begins the process of selecting Securities for redemption, and shall be credited for such purpose by the Registrar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     ], the Registrar need not call Securities of such Series for redemption, except upon receipt of a Company Order that such action be taken, and such cash payment shall be held by the Paying Agent and applied to the next succeeding sinking fund payment, provided, however, that the Paying Agent shall from time to time upon receipt of a Company Order pay over and deliver to the Company any cash payment so being held by the Paying Agent upon delivery by the Company to the Registrar of Securities of that Series purchased by the Company having an unpaid principal amount equal to the cash payment required to be released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Redemption of Securities for Sinking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     ] days (unless otherwise indicated in the Board Resolution, supplemental indenture hereto or Officers’ Certificate in respect of a particular Series of Securities) prior to each sinking fund payment date for any Series of Securities, the Company will deliver to the Trustee and the Paying Agent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     ]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stated in Sections 3.04, 3.05 and 3.06.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is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755"/>
        <w:gridCol w:w="1724"/>
        <w:gridCol w:w="75"/>
      </w:tblGrid>
      <w:tr>
        <w:trPr/>
        <w:tc>
          <w:tcPr>
            <w:tcW w:w="247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ANBIO BIOTECHNOLOGY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Registrar and Paying Agent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72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anbioex4-3.htm"/>
      <w:bookmarkStart w:id="28" w:name="ksanbioex43"/>
      <w:bookmarkEnd w:id="27"/>
      <w:bookmarkEnd w:id="28"/>
      <w:r>
        <w:rPr>
          <w:rFonts w:ascii="Times New Roman;Times;Serif" w:hAnsi="Times New Roman;Times;Serif"/>
          <w:b/>
          <w:i w:val="false"/>
          <w:caps w:val="false"/>
          <w:smallCaps w:val="false"/>
          <w:sz w:val="20"/>
        </w:rPr>
        <w:t>Exhibit 4.3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Anbio Biotechnology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249" w:type="dxa"/>
        <w:jc w:val="left"/>
        <w:tblInd w:w="0" w:type="dxa"/>
        <w:tblLayout w:type="fixed"/>
        <w:tblCellMar>
          <w:top w:w="0" w:type="dxa"/>
          <w:left w:w="0" w:type="dxa"/>
          <w:bottom w:w="0" w:type="dxa"/>
          <w:right w:w="0" w:type="dxa"/>
        </w:tblCellMar>
      </w:tblPr>
      <w:tblGrid>
        <w:gridCol w:w="1369"/>
        <w:gridCol w:w="4350"/>
        <w:gridCol w:w="530"/>
      </w:tblGrid>
      <w:tr>
        <w:trPr/>
        <w:tc>
          <w:tcPr>
            <w:tcW w:w="5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57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 DEFINITIONS AND INCORPORATION BY REFERENCE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Definitions.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by Reference of Trust Indenture Act.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of Construction.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7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 THE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Issuable in Series.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Terms of Series of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and Authentication.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Registrar and Paying Agent.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 to Hold Money in Trust.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 Lists.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and Exchange.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Mutilated, Destroyed, Lost and Stolen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Defaulted Interest.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57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REDEMPTION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Trustee.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Selection of Securities to be Redeemed.</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Notice of Redemption.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of Redemption Price.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Redeemed in Part.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7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COVENANTS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and Interest.</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Reports.</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4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w:t>
            </w:r>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1295"/>
        <w:gridCol w:w="5330"/>
        <w:gridCol w:w="245"/>
      </w:tblGrid>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 Extension and Usury Laws.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Existence.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Interest Notice.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Instruments and Acts.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62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2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 SUCCESSORS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Company May Merge, Etc.</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Corporation Substituted.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62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2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 DEFAULTS AND REMEDIES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of Maturity; Rescission and Annulment.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of Indebtedness and Suits for Enforcement by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May File Proofs of Claim.</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May Enforce Claims Without Possession of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Money Collected.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Suits.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Unconditional Right of Holders to Receive Principal and Interest.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Restoration of Rights and Remedies.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 Remedies Cumulative.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Omission Not Waiver.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for Costs.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2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2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Rights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Disclaimer.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Trustee to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Trustee by Merger, etc.</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Disqualification.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Preferential Collection of Claims Against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1400"/>
        <w:gridCol w:w="6650"/>
        <w:gridCol w:w="245"/>
      </w:tblGrid>
      <w:tr>
        <w:trPr/>
        <w:tc>
          <w:tcPr>
            <w:tcW w:w="805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SATISFACTION AND DISCHARGE; DEFEASANCE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 of Indenture.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Trust Funds; Indemnification.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Defeasance of Securities of any Series.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Defeasance.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80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5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AMENDMENTS AND WAIVERS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Trust Indenture Act.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Revocation and Effect of Consents.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or Exchange of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Protected.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Supplemental Indenture.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80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5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MISCELLANEOUS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Indenture Act Controls.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by Holders with Other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and Opinion as to Conditions Precedent.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Required in Certificate or Opinion.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for Vote or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by Trustee and Agents.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Holidays.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Against Others.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Laws and Submission to Jurisdiction.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Adverse Interpretation of Other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Headings, Etc.</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in a Foreign Currency or in ECU.</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Currency.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10.18.</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Applicable Anti-Terrorism and Money Laundering Regulations.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80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5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 SINKING FUNDS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Sinking Fund Payments with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Securities for Sinking Fund.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and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 20[     ]</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700"/>
        <w:gridCol w:w="60"/>
        <w:gridCol w:w="1280"/>
      </w:tblGrid>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310(a)(1)</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311(a)</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312(a)</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313(a)</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(b)(2)</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314(a)</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4.02, 10.05</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(c)(2)</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(c)(3)</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315(a)</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316(a)(1)(A)</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317(a)(1)</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318(a)</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part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 2026 between Anbio Biotechnology, a company organized under the laws of the Cayman Islands (the “Company”) and [     ]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br/>
        <w:t>DEFINITIONS 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Amounts</w:t>
      </w:r>
      <w:r>
        <w:rPr>
          <w:rFonts w:ascii="Times New Roman;Times;Serif" w:hAnsi="Times New Roman;Times;Serif"/>
          <w:b w:val="false"/>
          <w:i w:val="false"/>
          <w:caps w:val="false"/>
          <w:smallCaps w:val="false"/>
          <w:sz w:val="20"/>
        </w:rPr>
        <w:t>” means any additional amounts which are required hereby or by any Security, under circumstances specified herein or therein, to be paid by the Company in respect of certain taxes imposed on Holders specified therein and which are owing to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of the United States Code (or any successor thereto) or any similar federal or state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(x) Saturday, (y) Sunday or (z) day on which state or federally chartered banking institutions in New York, New York are not required to be open.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of any Person means any and all shares, interests, rights to purchase, warrants, options, participations or other equivalents of or interests in (however designated) equity of such Person, but excluding any debt securities convertible into such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Securities</w:t>
      </w:r>
      <w:r>
        <w:rPr>
          <w:rFonts w:ascii="Times New Roman;Times;Serif" w:hAnsi="Times New Roman;Times;Serif"/>
          <w:b w:val="false"/>
          <w:i w:val="false"/>
          <w:caps w:val="false"/>
          <w:smallCaps w:val="false"/>
          <w:sz w:val="20"/>
        </w:rPr>
        <w:t>” means Securities in the form of physical, certificated Securities in registered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above until a successor replaces it in accordance with the terms of this Indenture and thereafter means the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signed in the name of the Company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Request</w:t>
      </w:r>
      <w:r>
        <w:rPr>
          <w:rFonts w:ascii="Times New Roman;Times;Serif" w:hAnsi="Times New Roman;Times;Serif"/>
          <w:b w:val="false"/>
          <w:i w:val="false"/>
          <w:caps w:val="false"/>
          <w:smallCaps w:val="false"/>
          <w:sz w:val="20"/>
        </w:rPr>
        <w:t>” means a written request signed in the name of the Company by its Chairman of the Board, a President or a Vice President, and by its Chief Financial Officer, its Secretary or an Assistant Secretary,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of the execution of this Indenture is [     ], Attention: [     ], or at such other address as the Trustee may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sequestrator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or “default” means any event which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the default rate of interest specified in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Depository</w:t>
      </w:r>
      <w:r>
        <w:rPr>
          <w:rFonts w:ascii="Times New Roman;Times;Serif" w:hAnsi="Times New Roman;Times;Serif"/>
          <w:b w:val="false"/>
          <w:i w:val="false"/>
          <w:caps w:val="false"/>
          <w:smallCaps w:val="false"/>
          <w:sz w:val="20"/>
        </w:rPr>
        <w:t>”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and if at any time there is more than one such person, “Depository” as used with respect to the Securities of any Series shall mean the Depository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ECU</w:t>
      </w:r>
      <w:r>
        <w:rPr>
          <w:rFonts w:ascii="Times New Roman;Times;Serif" w:hAnsi="Times New Roman;Times;Serif"/>
          <w:b w:val="false"/>
          <w:i w:val="false"/>
          <w:caps w:val="false"/>
          <w:smallCaps w:val="false"/>
          <w:sz w:val="20"/>
        </w:rPr>
        <w:t>” means the European Currency Unit as determined by the Commission of the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Currency</w:t>
      </w:r>
      <w:r>
        <w:rPr>
          <w:rFonts w:ascii="Times New Roman;Times;Serif" w:hAnsi="Times New Roman;Times;Serif"/>
          <w:b w:val="false"/>
          <w:i w:val="false"/>
          <w:caps w:val="false"/>
          <w:smallCaps w:val="false"/>
          <w:sz w:val="20"/>
        </w:rPr>
        <w:t>” means any currency or currency unit issued by a government other than the government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Government Obligations</w:t>
      </w:r>
      <w:r>
        <w:rPr>
          <w:rFonts w:ascii="Times New Roman;Times;Serif" w:hAnsi="Times New Roman;Times;Serif"/>
          <w:b w:val="false"/>
          <w:i w:val="false"/>
          <w:caps w:val="false"/>
          <w:smallCaps w:val="false"/>
          <w:sz w:val="20"/>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2.02 evidencing all or part of a Series of Securities, issued to the Depository for such Series or its nominee, and registered in the name of such Depository or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a person in whose name a Security is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amended and supplemented from time to time and shall include the form and terms of particular Series of Securities established as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in respect of the Securities, unless the context otherwise requires, refers to interest payable on the Securities, including any additional interest that may become payable pursuant to Section 6.02(b).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w:t>
      </w:r>
      <w:r>
        <w:rPr>
          <w:rFonts w:ascii="Times New Roman;Times;Serif" w:hAnsi="Times New Roman;Times;Serif"/>
          <w:b w:val="false"/>
          <w:i w:val="false"/>
          <w:caps w:val="false"/>
          <w:smallCaps w:val="false"/>
          <w:sz w:val="20"/>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the Chairman of the Board, the President, any Vice-President, the Treasurer, the Secretary, any Assistant Treasurer or any Assistant Secretary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who is, and which opinion is, acceptable to the Trustee and its counsel. Such legal counsel may be an employee of or counsel to the Company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limited liability company, joint-stock company, trust, unincorporated organization or government or any agency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and any Additional Amounts in respect of,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any officer of the Trustee in its Corporate Trust Office and also means, any vice president, managing director, director, associate, assistant vice president, or any other officer of the Trustee customarily performing functions similar to those performed by any of the above designated officers and also, with respect to a particular corporate trust matter, any other officer to whom any corporate trust matter is referred because of his or her knowledge of and familiarity with a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Series of Securities</w:t>
      </w:r>
      <w:r>
        <w:rPr>
          <w:rFonts w:ascii="Times New Roman;Times;Serif" w:hAnsi="Times New Roman;Times;Serif"/>
          <w:b w:val="false"/>
          <w:i w:val="false"/>
          <w:caps w:val="false"/>
          <w:smallCaps w:val="false"/>
          <w:sz w:val="20"/>
        </w:rPr>
        <w:t>” means each series of debentures, notes or other debt instruments of the Company created pursuant to Sections 2.01 and 2.02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Maturity</w:t>
      </w:r>
      <w:r>
        <w:rPr>
          <w:rFonts w:ascii="Times New Roman;Times;Serif" w:hAnsi="Times New Roman;Times;Serif"/>
          <w:b w:val="false"/>
          <w:i w:val="false"/>
          <w:caps w:val="false"/>
          <w:smallCaps w:val="false"/>
          <w:sz w:val="20"/>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means any indebtedness which is expressly subordinated to the indebtedness evidenced by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in respect of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means the Trust Indenture Act of 1939 (15 U.S. Code Sections 77aaa-77bbbb) as in effect on the date of this Indenture; provided, however, that in the event the Trust Indenture Act of 1939 is amended after such date, “TIA” means, to the extent required by any such amendment, the Trust Indenture Act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28" w:type="dxa"/>
          <w:right w:w="0" w:type="dxa"/>
        </w:tblCellMar>
      </w:tblPr>
      <w:tblGrid>
        <w:gridCol w:w="2930"/>
        <w:gridCol w:w="60"/>
        <w:gridCol w:w="1085"/>
      </w:tblGrid>
      <w:tr>
        <w:trPr/>
        <w:tc>
          <w:tcPr>
            <w:tcW w:w="293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IN</w:t>
              <w:br/>
              <w:t>SECTION</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Law”</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Instrument”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Journal”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Judgment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Legal Holiday”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mandatory sinking fund payment”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Market Exchange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New York Banking Day”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optional sinking fund payment”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Paying Agent”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Required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successor person”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Temporary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Incorporation by Reference of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This Indenture shall also include those provisions of the TIA required to be included herein by the provisions of the Trust Indenture Reform Act of 1990. The following TIA terms used in this Indenture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“institutional trustee” means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and any successor obligor upon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references to “generally accepted accounting principles” shall mean generally accepted accounting principles in effect as of the time when and for the period as to which such accounting principles are to be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“or” is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in the plural include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provisions apply to successive events and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references to agreements and other instruments include subsequent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term “merger” includes a statutory share exchange, and the term “merged” has a correlative meaning;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“herein,” “hereof”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br/>
        <w:br/>
        <w:t>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Issuable in Series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Establishment of Terms of Series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(a), and either as to such Securities within the Series or as to the Series generally in the case of Subsections (b) through (t) by a Board Resolution, a supplemental indenture or an Officers’ Certificate pursuant to authority granted under a Board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designation, aggregate principal amount and authorized denominations of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price or prices, (expressed as a percentage of the aggregate principal amount thereof) at which the Securities of the Series will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commence and be payable and any regular record date for the interest payable on any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optional or mandatory sinking fund provisions or conversion or exchangeability provisions upon which Securities of the Series shall be redeemed, purchased, converted or exchanged;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date, if any, after which and the price or prices at which the Securities of the Series may be optionally redeemed or must be mandatorily redeemed and any other terms and provisions of optional or mandatory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other than denominations of $1,000 and any integral multiple thereof, the denominations in which the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the full principal amount, the portion of the principal amount of the Securities of the Series that shall be payable upon declaration of acceleration pursuant to Section 6.02 or provable in bankruptcy;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currency or currencies, including composite currencies, in which payments of principal of, premium or interest, if any, on the Securities of the Series will be payable, if other than the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payments of principal of, premium or interest, if any, on the Securities of the Series will be payable, at the Company’s election or at the election of any Holder, in a currency other than that in which the Securities of the Series are stated to be payable, the period or periods within which, and the terms and conditions upon which, the election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payments of interest, if any, on the Securities of the Series will be payable, at the Company’s election or at the election of any Holder, in cash or additional securities, and the terms and conditions upon which the election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denominated in a currency or currencies other than the currency of the United States of America, the equivalent price of the Securities of the Series in the currency of the United States of America for purposes of determining the voting rights of Holders of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amount of payments of principal, premium or interest may be determined with reference to an index, formula or other method based on a coin or currency other than that in which the Securities of the Series are stated to be payable, the manner in which the amounts will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restrictive covenants or other material terms relating to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whether the Securities of the Series will be issued in the form of global securities or certificates in registered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terms with respect to subordination;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listing on any securities exchange or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additional provisions, if any, related to defeasance and discharge of the offered debt securities;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applicability of any guarantees, which would be governed by New York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 of additional Securities of such Series, unless otherwise provided in such Board Resolution, supplemental Indenture or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Officers shall sign the Securities for the Company by manual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of such Series: (a) if the Trustee, being advised by counsel, determines that such action may not lawfully be taken; or (b) if a Responsible Officer of the Trustee in good faith shall determine that such action would expose the Trustee to personal liability to Holders of any then outstanding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successor that has replaced the Company in accordance with Article 5 has executed an indenture supplemental hereto with the Trustee pursuant to Section 5.01, any of the Securities authenticated or delivered prior to such transaction may, from time to time, at the request of such successor, be exchanged for other Securities executed in the name of the such successor with such changes in phraseology and form as may be appropriate, but otherwise identical to the Securities surrendered for such exchange and of like principal amount; and the Trustee, upon receipt of a Company Order of such successor, shall authenticate and deliver Securities as specified in such order for the purpose of such exchange. If Securities shall at any time be authenticated and delivered in any new name of such successor pursuant to this provision of Section 2.03 in exchange or substitution for or upon registration of transfer of any Securities, such successor, at the option of the Holders but without expense to them, shall provide for the exchange of all Securities then outstanding for Securities authenticated and delivered in such new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Registrar and Paying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with respect to each Series of Securities, at the place or places specified with respect to such Series pursuant to Section 2.02, an office or agency where Securities of such Series may be presented or surrendered for payment (“Paying Agent”) and where Securities of such Series may be surrendered for registration of transfer or exchange (“Registrar”). The Registrar shall keep a register with respect to each Series of Securities and to their transfer and exchange. The Company will give prompt written notice to the Trustee of the name and address, and any change in the name or address, of each Registrar and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or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     ] as the initial Registrar and Paying Agent for each Series unless another Registrar or Paying Agent as the case may be, is appointed prior to the time Securities of that Series are first issued. Each Registrar and Paying Agent shall be entitled to all of the rights, protections, exculpations and indemnities afforded to the Trustee in connection with its roles as Registrar and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Paying Agent to Hold Money in Trust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Securityholders of any Series of Securities all money held by it as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Securityholder Lists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and shall otherwise comply with TIA Section 312(a). If the Trustee is not the Registrar, the Company shall furnish to the Trustee at least [     ]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Any exchange or transfer shall be without charge, except that the Company or the Registrar may require payment of a sum sufficient to cover any tax or other governmental charge required by law; provided that this sentence shall not apply to any exchange pursuant to Section 2.11, 2.08, 3.06 or 9.06.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Securities of any Series for the period beginning at the opening of business [     ]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 Any Registrar appointed pursuant to Section 2.04 shall provide to the Trustee such information as the Trustee may reasonably require in connection with the delivery by such Registrar of Securities upon transfer or exchange of Securities. Each Holder of a Security agrees to indemnify the Company and the Trustee against any liability that may result from the transfer, exchange or assignment of such Holder’s Security in violation of any provision of this Indenture and/or applicable U.S. federal or state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Mutilated, Destroyed, Lost and Stolen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Registrar,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Registrar (i) evidence to their satisfaction of the destruction, loss or theft of any Security and (ii) such security or indemnity as may be required by them to save each of them and any agent of either of them harmless, then, in the absence of notice to the Company or the Registrar that such Security has been acquired by a bona fide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Outstanding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until the Trustee receives proof satisfactory to it that the replaced Security is held by a bona fide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or an Affiliate of any thereof)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does not cease to be outstanding because the Company or an Affiliate holds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Treasury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Securities of a Series have concurred in any request, demand, authorization, direction, notice, consent or waiver Securities of a Series owned by the Company or an Affiliate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Temporary Securities shall be substantially in the form of definitive Securities but may have variations that the Company considers appropriate for temporary Securities. Without unreasonable delay, the Company shall prepare and the Trustee upon written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Registrar and the Paying Agent shall forward to the Trustee or its agent any Securities surrendered to them for transfer, exchange, payment or conversion. The Trustee and no one else shall cancel, in accordance with its standard procedures, all Securities surrendered for transfer, exchange, payment, conversion or cancellation and shall deliver the cancelled Securities to the Company. No Security shall be authenticated in exchange for any Security cancelled pursuant to this Section 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to the extent permitted by law, purchase Securities in the open market or by tender offer at any price or by private agreement. Any Securities purchased or otherwise acquired by the Company or any of its Subsidiaries prior to the final maturity of such Securities may, to the extent permitted by law, be reissued or resold or may, at the option of the Company, be surrendered to the Trustee for cancellation. Any Securities surrendered for cancellation may not be reissued or resold and shall be promptly cancelled by the Trustee, and the Company may not hold or resell such Securities or issue any new Securities to replace any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shall pay defaulted interest, plus, to the extent permitted by law, any interest payable on the defaulted interest at the Default Rate, to the persons who are Security holders of the Series on a subsequent special record date. The Company shall fix the record date and payment date. At least [     ] days before the record date, the Company shall mail to the Trustee and the Paying Agent and to each Securityholder of the Series a notice that states the record date, the payment date and the amount of interest to be paid. The Company may pay defaulted interest in any other lawful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Board Resolution, a supplemental indenture hereto or an Officers’ Certificate shall establish whether the Securities of a Series shall be issued in whole or in part in the form of one or more Global Securities and the Depository for such Global Security 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(A)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within 90 days of such event, (B) the Company executes and delivers to the Trustee an Officers’ Certificate to the effect that such Global Security shall be so exchangeable or (C) an Event of Default with respect to the Securities represented by such Global Security shall have happened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provided in this Section 2.14(b),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Securities issued in exchange for a Global Security or any portion thereof shall be issued in definitive, fully registered form, without interest coupons, shall have an aggregate principal amount equal to that of such Global Security or portion thereof to be so exchanged, shall be registered in such names and be in such authorized denominations as the Depository shall designate and shall bear the applicable legends provided for herein. Any Global Security to be exchanged in whole shall be surrendered by the Depository to the Trustee, as Registrar. With regard to any Global Security to be exchanged in part, either such Global Security shall be so surrendered for exchange or, if the Registrar is acting as custodian for the Depository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Depository or an authorized representative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registered Holder may grant proxies and otherwise authorize any Person, including participants in the Depository and persons that may hold interests through participants in the Depository, to take any action which a Holder is entitled to take under this Indenture or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of the occurrence of any of the events specified in 2.14(b)(i), the Company will promptly make available to the Trustee a reasonable supply of Certificated Securities in definitive, fully registered form, without interest coupons. If (A) an event described in Section 2.14(b)(i)(A) or (B) occurs and definitive Certificated Securities are not issued promptly to all beneficial owners or (B) the Registrar receives from a beneficial owner instructions to obtain definitive Certificated Securities due to an event described in Section 2.14(b)(i)(C) and definitive Certificated Securities are not issued promptly to any such beneficial owner, the Company expressly acknowledges, with respect to the right of any Holder to pursue a remedy pursuant to Section 6.07 hereof, the right of any beneficial owner of Securities to pursue such remedy with respect to the portion of the Global Security that represents such beneficial owner’s Securities as if such definitive certificated Securities had been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Notwithstanding any provision to the contrary in this Indenture, so long as a Global Security remains outstanding and is held by or on behalf of the Depository, transfers of a Global Security, in whole or in part, or of any beneficial interest therein, shall only be made in accordance with Section 2.07, this Section 2.14(b) and the rules and procedures of the Depository for such Global Security to the extent applicable to such transaction and as in effect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Global Security issued hereunder shall bear a legend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Depository,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other provisions of this Indenture, unless otherwise specified as contemplated by Section 2.02, payment of the principal of and interest, if any, on any Global Security shall be made to the Holder thereof at their registered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all times the Securities are held in book-entry form with a Depository, (i) the Trustee may deal with such Depository as the authorized representative of the Holders, (ii) the rights of the Holders shall be exercised only through the Depository and shall be limited to those established by law and agreement between the Holders and the Depository and/or direct participants of the Depository, (iii) the Depository will make book-entry transfers among the direct participants of the Depository and will receive and transmit distributions of principal and interest on the Securities to such direct participants; and (iv) the direct participants of the Depository shall have no rights under this Indenture, or any supplement hereto, under or with respect to any of the Securities held on their behalf by the Depository, and the Depository may be treated by the Trustee and its agents, employees, officers and directors as the absolute owner of the Securities for all purposes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“ISIN” or other identification numbers (if then generally in use), and, if so, the Trustee shall use “CUSIP”, “ISIN” or such other identification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br/>
        <w:br/>
        <w:t>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Notice to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and Registrar in writing of the redemption date and the principal amount of Series of Securities to be redeemed. The Company shall give the notice at least [     ] days before the redemption date (or such shorter notice as may be acceptable to the Trustee and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Selection of Securities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a Board Resolution, a supplemental indenture or an Officers’ Certificate, if less than all the Securities of a Series are to be redeemed, the Registrar shall select the Securities of the Series to be redeemed in accordance with its customary procedures. The Registrar shall make the selection from Securities of the Series outstanding not previously called for redemption. The Registrar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2.02(g), the minimum principal denomination for each Series and integral multiples thereof. Provisions of this Indenture that apply to Securities of a Series called for redemption also apply to portions of Securities of that Series called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a supplemental indenture hereto or an Officers’ Certificate, at least [     ] days but not more than [     ] days before a redemption date, the Company shall mail a notice of redemption by first-class mail to each Holder whose Securities are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of the Series to be redeemed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name and address of the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Securities of the Series called for redemption must be surrendered to the Paying Agent to collect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interest on Securities of the Series called for redemption ceases to accrue on and after the redemption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information as may be required by the terms of the particular Series or the Securities of a Series being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written request, the Trustee shall distribute the notice of redemption prepared by the Company in the Company’s name and at its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or published as provided in Section 3.03,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date, the Company shall deposit with the Paying Agent money sufficient to pay the redemption price of and accrued interest, if any, on all Securities to be redeemed on that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Securities Redeemed in Part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br/>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under the terms of a particular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installment of principal or interest shall be considered paid on the date it is due if the Paying Agent (other than the Company) holds by [     ] [a].m., New York City time, on that date money, deposited by the Company or an Affiliate thereof, sufficient to pay such installment. The Company shall (in immediately available funds), to the fullest extent permitted by law, pay interest on overdue principal and overdue installments of interest at the rate borne by the Securities per annum;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payment of the principal of and interest on the Securities shall be made at the office or agency of the Company maintained for that purpose in [     ] (which shall initially be [     ], the Paying Agent)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at the option of the Company payment of interest may be made by check mailed to the address of the Person entitled thereto as such address appears in the register;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 Holder with an aggregate principal amount in excess of $[     ] will be paid by wire transfer in immediately available funds at the election of such Holder if such Holder has provided wire transfer instructions to the Company at least [     ] Business Days prior to the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Securities are outstanding, the Company shall (i) file with the SEC within the time periods prescribed by its rules and regulations and (ii) furnish to the Trustee and the Holders of the Securities within [     ] days after the date on which the Company would be required to file the same with the SEC pursuant to its rules and regulations (giving effect to any grace period provided by Rule 12b-25 under the Exchange Act), all quarterly and annual financial information required to be furnished or filed with the SEC pursuant to Section 13 and Section 15(d) of the Exchange Act and, with respect to the annual consolidated financial statements only, a report thereon by the Company’s independent auditors. The Company also shall comply with the other provisions of TIA Section 314(a).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Company shall not be required to file any report or other information with the SEC if the SEC does not permit such filing, although such reports shall be furnished to the Trustee. Documents filed by the Company with the SEC via the SEC’s EDGAR system (or any successor thereto) will be deemed furnished to the Trustee and the Holders of the Securities as of the time such documents are filed via EDGAR (or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     ] days after the end of each fiscal year of the Company, an officers certificate signed by two of the Company’s officers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in reasonable detail and the efforts to remedy the same). For purposes of this Section 4.03, compliance shall be determined without regard to any grace period or requirement of notice provided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     ] days after the occurrence thereof, written notice in the form of an Officers’ Certificate of any Event of Default described in Section 6.01(e), (f), (g) or (h) and any event of which it becomes aware that with the giving of notice or the lapse of time would become such an Event of Default, its status and what action the Company is taking or proposes to take with respect thereto. For the avoidance of doubt, a breach of a covenant under an Instrument that is not a payment default and that has not given rise to a right of acceleration under such Instrument shall not trigger the requirement to provide notice under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the Company will do or cause to be done all things necessary to preserve and keep in full force and effect its corporate existence and the corporate, partnership or other existence of each Subsidiary in accordance with the respective organizational documents of each Subsidiary and the rights (charter and statutory), licenses and franchises of the Company and its Subsidiaries; provided, however, that the Company shall not be required to preserve any such right, license or franchise, or the corporate, partnership or other existence of any Subsidiary, if the Board of Directors shall determine that the preservation thereof is no longer desirable in the conduct of the business of the Company and its Subsidiaries taken as a whole and that the loss thereof is not adverse in any material respect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and shall cause each of its Subsidiaries to, pay prior to delinquency all taxes, assessments and governmental levies, except as contested in good faith and by appropriate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Additional Interest Notice</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is required to pay additional interest to Holders of Securities pursuant to Section 6.02(b) hereof, the Company shall provide a direction or order in the form of a written notice to the Trustee (and if the Trustee is not the Paying Agent, the Paying Agent) of the Company’s obligation to pay such additional interest no later than [     ] Business Days prior to date on which any such additional interest is scheduled to be paid. Such notice shall set forth the amount of additional interest to be paid by the Company on such payment date and direct the Trustee (or, if the Trustee is not the Paying Agent, the Paying Agent) to make payment to the extent it receives funds from the Company to do so. The Trustee shall not at any time be under any duty or responsibility to any Holder to determine whether additional interest is payable, or with respect to the nature, extent, or calculation of the amount of additional interest owed, or with respect to the method employed in such calculation of additional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Further Instruments and 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br/>
        <w:br/>
        <w:t>SUCCESSORS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When Company May Merge,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consolidate with, enter into a binding share exchange, or merge into any other Person in a transaction in which it is not the surviving entity, or sell, assign, convey, transfer or lease or otherwise dispose of all or substantially all of its properties and assets to any Person (a “successor person”),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successor person (if any) is a corporation, partnership, trust or other entity organized and validly existing under the laws of the Cayman Islands and expressly assumes by a supplemental indenture executed and delivered to the Trustee, in form satisfactory to the Trustee, the due and punctual payment of the principal of, and any interest on, all Securities and the performance or observance of every covenant of this Indenture on the part of the Company to be performed or observed;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the transaction, no Default or Event of Default, shall have occurred and be continuing;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delivered to the Trustee, prior to the consummation of the proposed transaction, an Officers’ Certificate to the foregoing effect and an Opinion of Counsel stating that the proposed transaction and such supplemental indenture comply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Successor Corporation Substituted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sale, lease, conveyance or other disposition of all or substantially all of the assets of the Company in accordance with Section 5.01, the successor person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lease, conveyance or other disposition of all or substantially all of the assets of the Company shall not be released from the obligation to pay the principal of and interest, if any, 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br/>
        <w:b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any principal of any Security of that Series at its Maturity;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deposit of any sinking fund payment, when and as due in respect of any Security of that Series;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fails to perform or comply with any of its other covenants or agreements contained in the Securities or in this Indenture (other than a covenant or agreement a default in whose performance or whose breach is specifically dealt with in clauses (a), (b) or (c) of this Section 6.01) and the default continues for 60 days after notice is given as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or any other payment obligation of, the Company or any Subsidiary (an “Instrument”) with a principal amount then, individually or in the aggregate, outstanding in excess of $[     ], whether such indebtedness now exists or shall hereafter be created, is not paid at Maturity or when otherwise due or is accelerated, and such indebtedness is not discharged, or such default in payment or acceleration is not cured or rescinded, within a period of 30 days after there shall have been given, by registered or certified mail, to the Company by the Trustee or to the Company and the Trustee by the Holders of at least [     ]% in aggregate principal amount of the outstanding Securities of that Series a written notice specifying such default and requiring the Company to cause such indebtedness to be discharged or cause such default to be cured or waived or such acceleration to be rescinded or annulled and stating that such notice is a “Notice of Default” hereunder. A payment obligation (other than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the Company or any Subsidiary) shall not be deemed to have matured, come due, or been accelerated to the extent that it is being disputed by the relevant obligor or obligors in good faith. For the avoidance of doubt, the Maturity of an Instrument is the Maturity as set forth in that Instrument, as it may be amended from time to time in accordance with the terms of that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or any Subsidiary fails to pay one or more final and non-appealable judgments entered by a court or courts of competent jurisdiction, the aggregate uninsured or unbonded portion of which is in excess of $[     ], if the judgments are not paid, discharged, waived or stayed within [     ]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or any Subsidiary of the Company, pursuant to or within the meaning of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or generally is unable to pay its debts as the same become due;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court of competent jurisdiction enters an order or decree under any Bankruptcy Law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or any of its Subsidiaries in an involuntary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any of its Subsidiaries for all or substantially all of the property of the Company or any such Subsidiary;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case of each of clause (i), (ii) and (iii), the order or decree remains unstayed and in effect for [     ] consecutive days;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other Event of Default provided with respect to Securities of that Series, which is specified in a Board Resolution, a supplemental indenture hereto or an Officers’ Certificate, in accordance with Section 2.02(i).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clause (d) above is not an Event of Default until the Trustee notifies the Company, or the Holders of at least [     ]% in aggregate principal amount of the Securities then outstanding notify the Company and the Trustee, in writing of the default, and the Company does not cure the default within 60 days after receipt of such notice. The notice given pursuant to this Section 6.01 must specify the default, demand that it be remedied and state that the notice is a “Notice of Default.” When any default under this Section 6.01 is cured, it ceases.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charged with knowledge of any Event of Default unless written notice thereof shall have been given to a Trust Officer at the Corporate Trust Office of the Trustee by the Company, a Paying Agent, any Holder or any agent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(other than an Event of Default specified in clause (g) or (h) of Section 6.01) occurs and is continuing with respect to any Securities of any Series, then in every such case, the Trustee may, by notice to the Company, or the Holders of at least 25% in aggregate principal amount of the Securities of that Series (or, if any Securities of that Series are Discount Securities, such portion of the principal amount as may be specified in the terms of such Securities) then outstanding may, by notice to the Company and the Trustee, declare all unpaid principal of, and accrued and unpaid interest on to the date of acceleration, the Securities of that Series then outstanding (if not then due and payable) to be due and payable upon any such declaration, and the same shall become and be immediately due and payable. If an Event of Default specified in clause (g) or (h) of Section 6.01 occurs, all unpaid principal of the Securities then outstanding, and all accrued and unpaid interest thereon to the date of acceleration, shall ipso facto become and be immediately due and payable without any declaration or other act on the part of the Trustee or any Holder. The Holders of a majority in aggregate principal amount of the Securities of that Series then outstanding by notice to the Trustee may rescind an acceleration of such Securities of that Series and its consequences if (a) all existing Events of Default, other than the nonpayment of the principal of the Securities which has become due solely by such declaration of acceleration, have been cured or waived; (b) to the extent the payment of such interest is lawful, interest (calculated at the Default Rate) on overdue installments of interest and overdue principal, which has become due otherwise than by such declaration of acceleration, has been paid; (c) the rescission would not conflict with any judgment or decree of a court of competent jurisdiction; and (d) all payments due to the Trustee and any predecessor Trustee under Section 7.07 have been made. No such rescission shall affect any subsequent default or impair any right consequent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of provision of this Article 6, at the election of the Company in its sole discretion, the sole remedy under this Indenture for an Event of Default relating to the failure to comply with Section 4.02, and for any failure to comply with the requirements of Section 314(a)(1) of the TIA, will consist, for the 180 days after the occurrence of such an Event of Default, exclusively of the right to receive additional interest on the Securities at a rate equal to 0.50% per annum of the aggregate principal amount of the Securities then outstanding up to, but not including, the 181st day thereafter (or, if applicable, the earlier date on which the Event of Default relating to Section 4.02 is cured or waived). Any such additional interest will be payable in the same manner and on the same dates as the stated interest payable on the Securities. In no event shall additional interest accrue under the terms of this Indenture at a rate in excess of 0.50% per annum, in the aggregate, for any violation or default caused by the failure of the Company to be current in respect of its Exchange Act reporting obligations. If the Event of Default is continuing on the 181st day after an Event of Default relating to a failure to comply with Section 4.02, the Securities will be subject to acceleration as provided in this Section 6.02. The provisions of this Section 6.02(b) will not affect the rights of Holders in the event of the occurrence of any other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elect to pay additional interest as the sole remedy during the first 180 days after the occurrence of an Event of Default relating to the failure to comply with Section 4.02 in accordance with the immediately preceding paragraph, the Company shall notify all Holders and the Trustee and Paying Agent of such election on or before the close of business on the fifth Business Day after the date on which such Event of Default otherwise would occur. Upon a failure by the Company to timely give such notice or pay additional interest, the Securities will be immediately subject to acceleration as otherwise provided in this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in the payment of principal, interest, if any, specified in clause (a) or (b) of Section 6.01 occurs and is continuing, the Trustee may recover judgment in its own name and as trustee of an express trust against the Company or another obligor on the Securities for the whole amount of principal, and accrued interest remaining unpaid, if any, together with, to the extent that payment of such interest is lawful, interest on overdue principal, on overdue installments of interest, if any, in each case at the Default Rate,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Trustee May Enforce Claims Without Possession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the payment of all amounts due the Trustee under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(except actions for payment of overdue principal and interest),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not less than [     ]%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satisfactory to it against the costs, expenses and liabilities to be incurred in compliance with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     ] days after its receipt of such notice, request and offer of indemnity has failed to institute any such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     ]-day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Unconditional Right of Holders to Receive 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provisions of Section 6.01, the Trustee shall have the right to decline to follow any such direction if the Trustee in good faith shall, by a Responsible Officer of the Trustee, determine that the proceeding so directed would involve the Trustee in personal liability or would be unduly prejudicial to the rights of another Holder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9.02, 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     ]%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br/>
        <w:b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implied duties, covenants or obligations shall be deemed to be imposed upon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on their face to the requirements of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its own negligent action, its own negligent failure to act or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Section 7.01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provision of this Indenture that in any way relates to the Trustee is subject to paragraph (a), (b) and (c)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refuse to perform any duty or exercise any right or power unless it receives an indemnity satisfactory to it against any loss, liability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Indenture shall require the Trustee to risk or expend its own funds or otherwise incur liability, financial or otherwise, in the performance of any of its duties, or in the exercise of any of its rights or powers, if it shall have reasonable grounds for believing that repayment of such funds or indemnity satisfactory to it against such risk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Paying Agent, the Registrar and any authenticating agent shall be entitled to the same rights, indemnities, protections and immunities afforded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have no duty to monitor the performance or compliance of the Company with its obligations hereunder or any under supplement hereto, nor shall it have any liability in connection with the malfeasance or nonfeasance by the Company. The Trustee shall have no liability in connection with compliance by the Company with statutory or regulatory requirements related to this Indenture, any supplement or any Securities issued pursuant hereto 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fully protected in acting or refraining from acting as a result of its reasonable belief that any resolution, certificate, statement, instrument, opinion, report, notice, request, consent, order, direction, approval or other paper or document was genuine and had been signed or presented by the proper person. The Trustee need not investigate any fact or matter stated in the document, but the Trustee, in its discretion, may make such further inquiry or investigation into such facts or matters as it sees 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and shall not be responsible for the misconduct or negligence of, or for the supervision of, any agent appointed with due care. No Depository shall be deemed an agent of the Trustee and the Trustee shall not be responsible for any act or omission by any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or pursuant to this Indenture at the request, order or direction of any of the Holders of Securities, unless such Holders shall have offered to the Trustee reasonable security or indemnity satisfactory to it against the costs, expenses and liabilities which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Individual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an Affiliate with the same rights it would have if it were not Trustee. Any Agent may do the same with like rights. The Trustee is also subject to Sections 7.10 and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 as to the validity or adequacy of this Indenture or the Securities and the recitals contained herein and in the Securities shall be taken as statements of the Company and not of the Trustee, and the Trustee has no responsibility for such recitals. The Trustee shall not be accountable for the Company’s use or application of the proceeds from the Securities or for monies paid over to the Company pursuant to this Indenture, and it shall not be responsible for any statement in the Securities other than its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with respect to the Securities of any Series and if a Responsible Officer of the Trustee has knowledge or receives written notice of such event, the Trustee shall mail to each Securityholder of the Securities of that Series, notice of a Default or Event of Default within [     ] days after it occurs or, if later, after a Responsible Officer of the Trustee has actual knowledge of such Default or Event of Default. Except in the case of a Default or Event of Default in payment of principal of or interest on any Security of any Series, including any additional interest that may become payable pursuant to Section 6.02(b), the Trustee may withhold the notice so long as the Trustee in good faith determines that withholding the notice is in the interests of Securityholders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Reports by Trustee to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     ] days after [     ] in each year, the Trustee shall transmit by mail to all Securityholders, as their names and addresses appear on the register kept by the Registrar, a brief report dated as of such [     ], in accordance with, and to the extent required under, TIA Section 313.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such compensation for its services as shall be agreed upon in writing. The Trustee’s compensation shall not be limited by any law on compensation of a trustee of an express trust. The Company shall reimburse the Trustee upon request for all reasonable out-of-pocket expenses, disbursements and advances incurred by it. Such expenses shall include the reasonable compensation and expenses of the Trustee’s agents, counsel and other persons not regularly in its employ.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defend and hold harmless the Trustee and its officers, directors, employees, representatives and agents, from and against and reimburse the Trustee for any and all claims, expenses, obligations, liabilities, losses, damages, injuries (to person, property, or natural resources), penalties, stamp or other similar taxes, actions, suits, judgments, reasonable costs and expenses (including reasonable attorney’s and agent’s fees and expenses) of whatever kind or nature regardless of their merit, demanded, asserted or claimed against the Trustee directly or indirectly relating to, or arising from, claims against the Trustee by reason of its participation in the transactions contemplated hereby, including without limitation all reasonable costs required to be associated with claims for damages to persons or property, and reasonable attorneys’ and consultants’ fees and expenses and court costs except to the extent caused by the Trustee’s negligence or willful misconduct. The provisions of this Section 7.07 shall survive the termination of this Agreement or the earlier resignation or removal of the Trustee. The Company shall defend any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 or delayed. This indemnification shall apply to officers, directors, employees, shareholders and agents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need not reimburse any expense or indemnify against any loss liability incurred by the Trustee or by any officer, director, employee, shareholder or agent of the Trustee through negligence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the Trustee shall have a lien prior to the Securities of any Series on all money or property held or collected by the Trustee, except that held in trust to pay principal and interest on particular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6.01(f) or (g) occurs, the expenses and the compensation for the services are intended to constitute expenses of administration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Replacement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with respect to the Securities of one or more Series by so notifying the Company. The Holders of a majority in principal amount of the Securities of any Series may remove the Trustee with respect to that Series by so notifying the Trustee and the Company. The Company may remove the Trustee with respect to Securities of one or more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 or an order for relief is entered with respect to the Trustee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     ] days after the retiring Trustee resigns or is removed, the retiring Trustee, the Company or the Holders of at least [     ]% in principal amount of the Securities of the applicable Series may petition any court of competent jurisdiction for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and subject to the payment of any and all amounts then due and owing to the retiring Trustee,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7.08, the Company’s obligations under Section 7.07 hereof shall continue for the benefit of the retiring trustee with respect to expenses and liabilities incurred by it prior to such replacement.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Successor Trustee by Merger,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the successor corporation without any further act shall be the successor Trustee with the same effect as if the successor Trustee had been named as the Trustee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Section 310(a)(1), (2) and (5). The Trustee shall always have a combined capital and surplus of at least $[     ] as set forth in its most recent published annual report of condition. The Trustee shall comply with TIA Section 310(b).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Preferential Collection of Claims Against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Section 311(a), excluding any creditor relationship listed in TIA Section 311(b). A Trustee who has resigned or been removed shall be subject to TTA Section 311(a) to the extent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br/>
        <w:br/>
        <w:t>SATISFACTION AND DISCHARGE;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Order cease to be of further effect (except as hereinafter provided in this Section 8.01), and the Trustee, on the demand of and at the expense of the Company, shall execute proper instruments acknowledging satisfaction and discharge of this Indenture,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theretofore authenticated and delivered (other than Securities that have been destroyed, lost or stolen and that have been replaced or paid) have been delivered to the Trustee for cancellation;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Securities not theretofore delivered to the Trustee for cancellation have become due and payable,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become due and payable,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become due and payable at their Stated Maturity within [     ],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are to be called for redemption within [     ] under arrangements satisfactory to the Trustee for the giving of notice of redemption by the Trustee in the name, and at the expense, of the Company,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are deemed paid and discharged pursuant to section 8.03, as applicable; and the Company, in the case of (1), (2) or (3) above, has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all other sums payable hereunder by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meeting the applicable requirements of Sections 10.04 and 10.05 and each stating that all conditions precedent herein relating to the satisfaction and discharge of this Indenture have been complied with and the Trustee receives written demand from the Company to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under Section 7.07, and, if money shall have been deposited with the Trustee pursuant to clause (a) of this Section, the provisions of Sections 2.04, 2.07, 2.08, 8.01 8.02 and 8.05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Application of Trust Funds;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8.03 or 8.04.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pay and shall indemnify the Trustee and the Agents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in accordance with the terms of this Indenture, deliver or pay to the Company from time to time, upon Company Request and at the expense of the Company any U.S. Government Obligations or Foreign Government Obligations or money held by it pursuant to this Indenture as provided in Sections 8.03 or 8.04 which, in the opinion of a nationally recognized firm of independent certified public accountants, expressed in a written certification thereof and delivered to the Trustee together with such Company Request,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Legal Defeasance of Securities of any Series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8.03 is otherwise specified, pursuant to Section 2.02(s), to be inapplicable to Securities of any Series, the Company shall be deemed to have paid and discharged the entire indebtedness on all the outstanding Securities of such Series on the [     ]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Sections 2.04, 2.07, 2.08, 2.14, 8.02, 8.03 and 8.05;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 and immunities of the Trustee hereunder;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deposited or caused to be deposited irrevocably with the Paying Agent as trust funds in trust for the purpose of making the following payments, specifically pledged as security for and dedicated solely to the benefit of the Holders of such Securities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public accountants expressed in a written certification thereof delivered to the Trustee and the Paying Agent, to pay and discharge each installment of principal (including mandatory sinking fund or analogous payments) of and interest, if any, on all the Securities of such Series on the dates such installments of interest or principal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Default or Event of Default with respect to the Securities of such Series shall have occurred and be continuing on the date of such deposit or during the period ending on the [     ]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deposit shall not result in the trust arising from such deposit constituting an investment company (as defined in the Investment Company Act of 1940, as amended), or such trust shall be qualified under such Act or exempt from regulation thereunder;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8.04 is otherwise specified pursuant to Section 2.02(s) to be inapplicable to Securities of any Series, on and after the [     ] day after the date of the deposit referred to in subparagraph (a) hereof, the Company may omit to comply with any term, provision or condition set forth under Sections 4.02, 4.03, 4.04, 4.05, 4.06, and 5.01 as well as any additional covenants contained in a supplemental indenture hereto for a particular Series of Securities or a Board Resolution or an Officers’ Certificate delivered pursuant to Section 2.02(s) (and the failure to comply with any such covenants shall not constitute a Default or Event of Default under Section 6.01) and the occurrence of any event described in clause (e) of Section 6.01 shall not constitute a Default or Event of Default hereunder, with respect to the Securities of such Series,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8.04, the Company has deposited or caused to be irrevocably deposited (except as provided in Section 8.02(c)) with the Paying Agent as trust funds in trust,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certified public accountants expressed in a written certification thereof delivered to the Paying Agent, to pay principal and interest, if any, on and any mandatory sinking fund in respect of the Securities of such Series on the dates such installments of interest or principal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 or during the period ending on the [     ]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Opinion of Counsel confirming that Holders of the Securities of such Series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and an Opinion of Counsel, each stating that all conditions precedent herein provided for relating to the defeasance contemplated by this Section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all liability of the Paying Agent with respect to that money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br/>
        <w:br/>
        <w:t>AMENDMENTS AND WAIVERS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Without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amend or supplement this Indenture or the Securities of one or more Series without the consent of any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make any change that does not adversely affect the rights of any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provide for the issuance of and establish the form and terms and conditions of Securities of any Series as permitted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comply with requirements of the TIA and any rules promulgated under the TIA;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add to the covenants of the Company for the equal and ratable benefit of the Holders or to surrender any right, power or option conferred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supplement made solely to conform the provisions of this Indenture or the Securities of any Series to the description thereof contained in the final prospectus relating to such Series will be deemed not to adversely affect the rights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enter into a supplemental indenture with the written consent of the Holders of at least a majority in principal amount of the outstanding Securities of all Series affected by such supplemental indenture, taken together as one class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all Series affected by such waiver by notice to the Trustee, taken together as one class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Securityholder affected, an amendment or waiver may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amount of Securities whose Holders must consent to an amendment, supplement or waiver, except to increase any such amount or to provide that certain provisions of this Indenture cannot be modified, amended or waived without the consent of the Holder of each outstanding Security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amount of interest, or change the interest payment time, on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waive a redemption payment or alter the redemption provisions (other than any alteration that would not materially adversely affect the legal rights of any Holder under this Indenture) or the price at which the Company is required to offer to purchase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principal or change the Stated Maturity of any Security or reduce the amount of, or postpone the date fixed for, the payment of any sinking fund or analogous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principal amount payable of any Security upon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place or currency of payment of principal of or interest, if any, on any Security other than that stated in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or, or interest on, the Securities of such Holder on or after the due dates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impair the right to institute suit for the enforcement of any payment on, or with respect to,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change in Sections 10.15 or 10.16;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change the ranking of the Securities;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any other change which is specified in a Board Resolution, a supplemental indenture hereto or an Officers’ Certificate as a limitation under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amendment or waiver shall always be subject to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Compliance with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 hereto that complies with the TIA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waiver once effective shall bind every Securityholder of each Series affected by such amendment or waiver unless it is of the type described in any of clauses (a) through (g) of Section 9.03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val="false"/>
          <w:caps w:val="false"/>
          <w:smallCaps w:val="false"/>
          <w:sz w:val="20"/>
          <w:u w:val="single"/>
        </w:rPr>
        <w:t>Notation on or Exchange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amendment, supplement or waiver changes the terms of a Security, the Trustee may require the Holder of the Security to deliver it to the Trustee and the Trustee may place an appropriate notation on the Security about the changed terms and return it to the Holder. Alternatively, if the Company or the Trustee so determines, the Company shall issue and the Trustee shall authenticate upon request new Securities of that Series that reflect the changed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9.07. </w:t>
      </w:r>
      <w:r>
        <w:rPr>
          <w:rFonts w:ascii="Times New Roman;Times;Serif" w:hAnsi="Times New Roman;Times;Serif"/>
          <w:b w:val="false"/>
          <w:i w:val="false"/>
          <w:caps w:val="false"/>
          <w:smallCaps w:val="false"/>
          <w:sz w:val="20"/>
          <w:u w:val="single"/>
        </w:rPr>
        <w:t>Trustee Protected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Opinion of Counsel or an Officer’s Certificate, or both stating that the execution of such supplemental indenture is authorized or permitted by this Indenture. The Trustee shall sign all supplemental indentures, except that the Trustee need not sign any supplemental indenture that adversely affects its rights, duties or indemnities.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9.08.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under this Article, this Indenture shall be modified in accordance therewith, and each such supplemental indenture shall form part of this Indenture for all purposes with respect to the relevant Series; and every Holder of Securities of the relevant Series theretofore or thereafter authenticated and delivered hereunder shall be bound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b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Trust Indenture Act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the Trustee, the Paying Agent or the Registrar to another is duly given if in writing and delivered in person or mailed by first-class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br/>
        <w:t>Attn: [     ]</w:t>
        <w:br/>
        <w:t>Fax: [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br/>
        <w:t>Attn: [     ]</w:t>
        <w:br/>
        <w:t>Fax: [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Registrar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each Agent by notice to each other may designate additional or different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published in the manner provided above, within the time prescribed, it is duly given, whether or not the Securityholder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a notice or communication to Securityholders, it will mail a copy to the Trustee and each Agent at the same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 notice is required to be given by the Company, such notice may be given by the Trustee or Registrar on the Company’s behalf (and the Company will make any notice it is required to give to Holders available on its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Communication by Holders with Other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Section 312(b) with other Securityholders of that Series or any other Series with respect to their rights under this Indenture or the Securities of that Series or all Series. The Company, the Trustee, the Registrar and anyone else shall have the protection of TIA Section 312(c).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counsel, all such conditions precedent (including any covenants, compliance with which constitutes a condition precedent)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Section 314(a)(4)) shall comply with the provisions of TIA Section 314(e) and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Record Date for Vote or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in the event deposits have been made pursuant to Section 11.02, the Trustee) may set a record date for purposes of determining the identity of Holders entitled to vote or consent to any action by vote or consent authorized or permitted under this Indenture, which record date shall not be more than [     ] days prior to the date of the commencement of solicitation of such action. Notwithstanding the provisions of Section 9.05, if a record date is fixed, those persons who were Holders of Securities at the close of business on such record date (or their duly designated proxies), and only those persons, shall be entitled to take such action by vote or consent or to revoke any vote or consent previously given, whether or not such persons continue to be Holders after such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val="false"/>
          <w:caps w:val="false"/>
          <w:smallCaps w:val="false"/>
          <w:sz w:val="20"/>
          <w:u w:val="single"/>
        </w:rPr>
        <w:t>Rules by Trustee and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 meeting of Securityholders of one or more Series. Any Agent may make reasonable rules and set reasonable requirements for its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Governing Laws and Submission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THE LAWS OF THE STATE OF NEW YORK EXCLUDING ANY RULE OF LAW THAT WOULD CAUSE THE APPLICATION OF THE LAWS OF ANY JURISDICTION OTHER THAN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non-exclusive jurisdiction of such court in any suit, action or proceeding. The Company, as long as any Securities remain outstanding or the parties hereto have any obligation under this Indenture, shall have an authorized agent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 proceeding and, if it fails to maintain such agent, any such process or summons may be served by mailing a copy thereof by registered mail, or a form of mail substantially equivalent thereto, addressed to it at its address as provided for notices hereunder. The Company hereby appoints [     ], as its agent for such purposes, and covenants and agrees that service of process in any legal action or proceeding may be made upon it at such office of such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 Subsidiary. Any such indenture, loan or debt agreement may not be used to interpret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successor. All agreements of the Trustee in this Indenture shall bind its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Table of Contents, Headings,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Securities in a Foreign Currency or in ECU</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Board Resolution, a supplemental indenture hereto or an 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10.16,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Company and all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Compliance with Applicable Anti-Terrorism and Money Laundering 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laws, rules, regulations and executive orders in effect from time to time applicable to banking institutions, including those relating to the funding of terrorist activities and money laundering (“Applicable Law”), the Trustee is required to obtain, verify and record certain information relating to individuals and entities which maintain a business relationship with the Trustee. Accordingly, each of the parties agree to provide to the Trustee, upon its request from time to time such identifying information and documentation as may be available for such party in order to enable the Trustee to comply with the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br/>
        <w:br/>
        <w:t>SINKING FUNDS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the Securities of a Series, except as otherwise permitted or required by any form of Security of such Series issued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Registrar, together with an Officers’ Certificate with respect thereto, not later than [     ] days prior to the date on which the Registrar begins the process of selecting Securities for redemption, and shall be credited for such purpose by the Registrar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     ], the Registrar need not call Securities of such Series for redemption, except upon receipt of a Company Order that such action be taken, and such cash payment shall be held by the Paying Agent and applied to the next succeeding sinking fund payment, provided, however, that the Paying Agent shall from time to time upon receipt of a Company Order pay over and deliver to the Company any cash payment so being held by the Paying Agent upon delivery by the Company to the Registrar of Securities of that Series purchased by the Company having an unpaid principal amount equal to the cash payment required to be released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Redemption of Securities for Sinking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     ] days (unless otherwise indicated in the Board Resolution, supplemental indenture hereto or Officers’ Certificate in respect of a particular Series of Securities) prior to each sinking fund payment date for any Series of Securities, the Company will deliver to the Trustee and the Paying Agent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     ]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stated in Sections 3.04, 3.05 and 3.06.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is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1136"/>
        <w:gridCol w:w="1343"/>
        <w:gridCol w:w="75"/>
      </w:tblGrid>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Anbio Biotechnology</w:t>
            </w: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caps w:val="false"/>
                <w:smallCaps w:val="false"/>
              </w:rPr>
            </w:pPr>
            <w:r>
              <w:rPr>
                <w:caps w:val="false"/>
                <w:smallCaps w:val="false"/>
              </w:rPr>
              <w:t> </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caps w:val="false"/>
                <w:smallCaps w:val="false"/>
              </w:rPr>
            </w:pPr>
            <w:r>
              <w:rPr>
                <w:caps w:val="false"/>
                <w:smallCaps w:val="false"/>
              </w:rPr>
              <w:t> </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br/>
              <w:t>as Registrar and Paying Agent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caps w:val="false"/>
                <w:smallCaps w:val="false"/>
              </w:rPr>
            </w:pPr>
            <w:r>
              <w:rPr>
                <w:caps w:val="false"/>
                <w:smallCaps w:val="false"/>
              </w:rPr>
              <w:t> </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color w:val="333333"/>
          <w:spacing w:val="4"/>
          <w:sz w:val="20"/>
        </w:rPr>
      </w:pPr>
      <w:bookmarkStart w:id="29" w:name="anbioex5-1.htm"/>
      <w:bookmarkStart w:id="30" w:name="ksanbioex51"/>
      <w:bookmarkEnd w:id="29"/>
      <w:bookmarkEnd w:id="30"/>
      <w:r>
        <w:rPr>
          <w:rFonts w:ascii="Times New Roman;Times;Serif" w:hAnsi="Times New Roman;Times;Serif"/>
          <w:b/>
          <w:i w:val="false"/>
          <w:caps w:val="false"/>
          <w:smallCaps w:val="false"/>
          <w:color w:val="333333"/>
          <w:spacing w:val="4"/>
          <w:sz w:val="20"/>
        </w:rPr>
        <w:t>Exhibit 5.1</w:t>
      </w:r>
      <w:r>
        <w:br w:type="page"/>
      </w:r>
    </w:p>
    <w:p>
      <w:pPr>
        <w:pStyle w:val="TextBody"/>
        <w:bidi w:val="0"/>
        <w:jc w:val="left"/>
        <w:rPr>
          <w:caps w:val="false"/>
          <w:smallCaps w:val="false"/>
          <w:color w:val="333333"/>
          <w:spacing w:val="4"/>
        </w:rPr>
      </w:pPr>
      <w:r>
        <w:rPr>
          <w:caps w:val="false"/>
          <w:smallCaps w:val="false"/>
          <w:color w:val="333333"/>
          <w:spacing w:val="4"/>
        </w:rPr>
        <w:t> </w:t>
      </w:r>
    </w:p>
    <w:tbl>
      <w:tblPr>
        <w:tblW w:w="5645" w:type="dxa"/>
        <w:jc w:val="left"/>
        <w:tblInd w:w="0" w:type="dxa"/>
        <w:tblLayout w:type="fixed"/>
        <w:tblCellMar>
          <w:top w:w="0" w:type="dxa"/>
          <w:left w:w="0" w:type="dxa"/>
          <w:bottom w:w="0" w:type="dxa"/>
          <w:right w:w="0" w:type="dxa"/>
        </w:tblCellMar>
      </w:tblPr>
      <w:tblGrid>
        <w:gridCol w:w="2940"/>
        <w:gridCol w:w="2705"/>
      </w:tblGrid>
      <w:tr>
        <w:trPr/>
        <w:tc>
          <w:tcPr>
            <w:tcW w:w="2940" w:type="dxa"/>
            <w:tcBorders/>
            <w:vAlign w:val="center"/>
          </w:tcPr>
          <w:p>
            <w:pPr>
              <w:pStyle w:val="TableContents"/>
              <w:bidi w:val="0"/>
              <w:spacing w:before="0" w:after="283"/>
              <w:jc w:val="left"/>
              <w:rPr/>
            </w:pPr>
            <w:r>
              <w:rPr/>
              <w:drawing>
                <wp:inline distT="0" distB="0" distL="0" distR="0">
                  <wp:extent cx="185737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857375" cy="361950"/>
                          </a:xfrm>
                          <a:prstGeom prst="rect">
                            <a:avLst/>
                          </a:prstGeom>
                        </pic:spPr>
                      </pic:pic>
                    </a:graphicData>
                  </a:graphic>
                </wp:inline>
              </w:drawing>
            </w:r>
          </w:p>
        </w:tc>
        <w:tc>
          <w:tcPr>
            <w:tcW w:w="270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(Cayman) LLP</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Solaris Avenue</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Camana Bay</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1348</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KY1-1108</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+1 345 949 4123</w:t>
              <w:br/>
              <w:t>F +1 345 949 4647</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Anbio Biotechnology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Vistra (Cayman) Limited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31119</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Pavilion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Hibiscus Way,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 West Bay Road,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KY1-1205</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July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Anbio Biotechnology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legal advisers to the Company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initially filed on 9 July 2026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U.S.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relating to the securities to be issued and sold by the Company from time to time, in one or more offerings, listed below (together,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283"/>
              <w:jc w:val="both"/>
              <w:rPr/>
            </w:pPr>
            <w:r>
              <w:rPr/>
              <w:t xml:space="preserve">Class A Ordinary Shares of the Company of US$0.000000001 par value each (the </w:t>
            </w:r>
            <w:r>
              <w:rPr>
                <w:b/>
              </w:rPr>
              <w:t>Ordinary Shares</w:t>
            </w:r>
            <w:r>
              <w:rPr/>
              <w:t>);</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 xml:space="preserve">share purchase contracts, including contracts obligating holders to purchase from the Company and obligating the Company to sell to the holders, a specified number of Ordinary Shares or other securities at a future date or dates (the </w:t>
            </w:r>
            <w:r>
              <w:rPr>
                <w:b/>
              </w:rPr>
              <w:t>Share Purchase Contracts</w:t>
            </w:r>
            <w:r>
              <w:rPr/>
              <w:t xml:space="preserve">) to be issued under a purchase agreement or similar agreement to be entered into by the Company (the </w:t>
            </w:r>
            <w:r>
              <w:rPr>
                <w:b/>
              </w:rPr>
              <w:t>Share Purchase Contract Document</w:t>
            </w:r>
            <w:r>
              <w:rPr/>
              <w:t>);</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t xml:space="preserve">share purchase units comprising Share Purchase Contracts and Debt Securities (as defined below), Warrants (as defined below) or other securities (the </w:t>
            </w:r>
            <w:r>
              <w:rPr>
                <w:b/>
              </w:rPr>
              <w:t>Share Purchase Units</w:t>
            </w:r>
            <w:r>
              <w:rPr/>
              <w:t xml:space="preserve">) to be issued under a unit agreement, purchase agreement or similar agreement to be entered into by the Company (the </w:t>
            </w:r>
            <w:r>
              <w:rPr>
                <w:b/>
              </w:rPr>
              <w:t>Share Purchase Unit Document</w:t>
            </w:r>
            <w:r>
              <w:rPr/>
              <w:t>);</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 xml:space="preserve">warrants to purchase Ordinary Shares, Debt Securities or any combination thereof (the </w:t>
            </w:r>
            <w:r>
              <w:rPr>
                <w:b/>
              </w:rPr>
              <w:t>Warrants</w:t>
            </w:r>
            <w:r>
              <w:rPr/>
              <w:t xml:space="preserve">) issuable pursuant to the terms of a warrant agreement to be entered into between the Company and a warrant agent for such Warrants thereunder, if any (the </w:t>
            </w:r>
            <w:r>
              <w:rPr>
                <w:b/>
              </w:rPr>
              <w:t>Warrant Document</w:t>
            </w:r>
            <w:r>
              <w:rPr/>
              <w:t>);</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(e)</w:t>
            </w:r>
          </w:p>
        </w:tc>
        <w:tc>
          <w:tcPr>
            <w:tcW w:w="9916" w:type="dxa"/>
            <w:tcBorders/>
            <w:vAlign w:val="center"/>
          </w:tcPr>
          <w:p>
            <w:pPr>
              <w:pStyle w:val="TableContents"/>
              <w:bidi w:val="0"/>
              <w:spacing w:before="0" w:after="283"/>
              <w:jc w:val="both"/>
              <w:rPr/>
            </w:pPr>
            <w:r>
              <w:rPr/>
              <w:t xml:space="preserve">debt securities (the </w:t>
            </w:r>
            <w:r>
              <w:rPr>
                <w:b/>
              </w:rPr>
              <w:t>Debt Securities</w:t>
            </w:r>
            <w:r>
              <w:rPr/>
              <w:t xml:space="preserve">) to be issued pursuant to the applicable indenture to be entered into by the Company (the </w:t>
            </w:r>
            <w:r>
              <w:rPr>
                <w:b/>
              </w:rPr>
              <w:t>Debt Document</w:t>
            </w:r>
            <w:r>
              <w:rPr/>
              <w: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(f)</w:t>
            </w:r>
          </w:p>
        </w:tc>
        <w:tc>
          <w:tcPr>
            <w:tcW w:w="9959" w:type="dxa"/>
            <w:tcBorders/>
            <w:vAlign w:val="center"/>
          </w:tcPr>
          <w:p>
            <w:pPr>
              <w:pStyle w:val="TableContents"/>
              <w:bidi w:val="0"/>
              <w:spacing w:before="0" w:after="283"/>
              <w:jc w:val="both"/>
              <w:rPr/>
            </w:pPr>
            <w:r>
              <w:rPr/>
              <w:t xml:space="preserve">rights to purchase Ordinary Shares (the </w:t>
            </w:r>
            <w:r>
              <w:rPr>
                <w:b/>
              </w:rPr>
              <w:t>Rights</w:t>
            </w:r>
            <w:r>
              <w:rPr/>
              <w:t xml:space="preserve">) to be issued under a rights agent agreement to be entered into between the Company and a rights agent, if any (the </w:t>
            </w:r>
            <w:r>
              <w:rPr>
                <w:b/>
              </w:rPr>
              <w:t>Rights Document</w:t>
            </w:r>
            <w:r>
              <w:rPr/>
              <w:t>); and/or</w:t>
            </w:r>
          </w:p>
        </w:tc>
      </w:tr>
    </w:tbl>
    <w:p>
      <w:pPr>
        <w:pStyle w:val="TextBody"/>
        <w:bidi w:val="0"/>
        <w:ind w:left="720" w:right="0" w:hanging="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(Cayman) LLP is registered as a limited liability partnership in the Cayman Islands with registration number 601078</w:t>
      </w:r>
    </w:p>
    <w:p>
      <w:pPr>
        <w:pStyle w:val="TextBody"/>
        <w:bidi w:val="0"/>
        <w:jc w:val="left"/>
        <w:rPr>
          <w:caps w:val="false"/>
          <w:smallCaps w:val="false"/>
        </w:rPr>
      </w:pPr>
      <w:r>
        <w:rPr>
          <w:caps w:val="false"/>
          <w:smallCaps w:val="false"/>
        </w:rPr>
        <w:t> </w:t>
      </w:r>
    </w:p>
    <w:tbl>
      <w:tblPr>
        <w:tblW w:w="1295" w:type="dxa"/>
        <w:jc w:val="left"/>
        <w:tblInd w:w="0" w:type="dxa"/>
        <w:tblLayout w:type="fixed"/>
        <w:tblCellMar>
          <w:top w:w="0" w:type="dxa"/>
          <w:left w:w="0" w:type="dxa"/>
          <w:bottom w:w="0" w:type="dxa"/>
          <w:right w:w="0" w:type="dxa"/>
        </w:tblCellMar>
      </w:tblPr>
      <w:tblGrid>
        <w:gridCol w:w="1295"/>
      </w:tblGrid>
      <w:tr>
        <w:trPr/>
        <w:tc>
          <w:tcPr>
            <w:tcW w:w="1295" w:type="dxa"/>
            <w:tcBorders/>
            <w:vAlign w:val="center"/>
          </w:tcPr>
          <w:p>
            <w:pPr>
              <w:pStyle w:val="TableContents"/>
              <w:bidi w:val="0"/>
              <w:spacing w:before="0" w:after="283"/>
              <w:jc w:val="right"/>
              <w:rPr/>
            </w:pPr>
            <w:r>
              <w:rPr/>
              <w:t>mourant.com</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(g)</w:t>
            </w:r>
          </w:p>
        </w:tc>
        <w:tc>
          <w:tcPr>
            <w:tcW w:w="9920" w:type="dxa"/>
            <w:tcBorders/>
            <w:vAlign w:val="center"/>
          </w:tcPr>
          <w:p>
            <w:pPr>
              <w:pStyle w:val="TableContents"/>
              <w:bidi w:val="0"/>
              <w:spacing w:before="0" w:after="283"/>
              <w:jc w:val="both"/>
              <w:rPr/>
            </w:pPr>
            <w:r>
              <w:rPr/>
              <w:t xml:space="preserve">units comprising some or all of the other Securities, in any combination (the </w:t>
            </w:r>
            <w:r>
              <w:rPr>
                <w:b/>
              </w:rPr>
              <w:t>Units</w:t>
            </w:r>
            <w:r>
              <w:rPr/>
              <w:t xml:space="preserve">) to be issued under a unit agreement, purchase agreement or similar agreement to be entered into by the Company (the </w:t>
            </w:r>
            <w:r>
              <w:rPr>
                <w:b/>
              </w:rPr>
              <w:t>Unit Document</w:t>
            </w: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Purchase Contract Document, Share Purchase Unit Document, Warrant Document, Debt Document, Rights Document and Unit Document are referred to herein collectively as </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Purchase Contracts, the Share Purchase Units, the Warrants, the Debt Securities, the Rights and the Units are collectively referred to herein as </w:t>
      </w:r>
      <w:r>
        <w:rPr>
          <w:rFonts w:ascii="Times New Roman;Times;Serif" w:hAnsi="Times New Roman;Times;Serif"/>
          <w:b/>
          <w:i w:val="false"/>
          <w:caps w:val="false"/>
          <w:smallCaps w:val="false"/>
          <w:sz w:val="20"/>
        </w:rPr>
        <w:t>Non-Equity Securities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herein as to any matter pertaining to the contents of the Registration Statement other than as expressly stated herein with respect to the issue of the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letter have the respective meanings set forth in the Registration Statement. The headings herein are for convenience only and do not affect the construction of this opinion letter.</w:t>
      </w:r>
    </w:p>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829"/>
        <w:gridCol w:w="9219"/>
      </w:tblGrid>
      <w:tr>
        <w:trPr/>
        <w:tc>
          <w:tcPr>
            <w:tcW w:w="15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b/>
              </w:rPr>
            </w:pPr>
            <w:r>
              <w:rPr>
                <w:b/>
              </w:rPr>
              <w:t>1.</w:t>
            </w:r>
          </w:p>
        </w:tc>
        <w:tc>
          <w:tcPr>
            <w:tcW w:w="9219" w:type="dxa"/>
            <w:tcBorders/>
            <w:vAlign w:val="center"/>
          </w:tcPr>
          <w:p>
            <w:pPr>
              <w:pStyle w:val="TableContents"/>
              <w:bidi w:val="0"/>
              <w:spacing w:before="0" w:after="283"/>
              <w:jc w:val="both"/>
              <w:rPr>
                <w:b/>
              </w:rPr>
            </w:pPr>
            <w:r>
              <w:rPr>
                <w:b/>
              </w:rPr>
              <w:t>Documents Reviewed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letter, we have only examined a copy of each of the following documents:</w:t>
      </w:r>
    </w:p>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20"/>
        <w:gridCol w:w="9728"/>
      </w:tblGrid>
      <w:tr>
        <w:trPr/>
        <w:tc>
          <w:tcPr>
            <w:tcW w:w="5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pPr>
            <w:r>
              <w:rPr/>
              <w:t>(a)</w:t>
            </w:r>
          </w:p>
        </w:tc>
        <w:tc>
          <w:tcPr>
            <w:tcW w:w="9728" w:type="dxa"/>
            <w:tcBorders/>
            <w:vAlign w:val="center"/>
          </w:tcPr>
          <w:p>
            <w:pPr>
              <w:pStyle w:val="TableContents"/>
              <w:bidi w:val="0"/>
              <w:spacing w:before="0" w:after="283"/>
              <w:jc w:val="both"/>
              <w:rPr/>
            </w:pPr>
            <w:r>
              <w:rPr/>
              <w:t>the certificate of incorporation of the Company dated 27 July 2021;</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the amended and restated memorandum and articles of association of the Company (the </w:t>
            </w:r>
            <w:r>
              <w:rPr>
                <w:b/>
              </w:rPr>
              <w:t>M&amp;A</w:t>
            </w:r>
            <w:r>
              <w:rPr/>
              <w:t>) adopted by a special resolution dated 15 May 2026;</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 xml:space="preserve">a copy of the Company’s register of directors and officers that was provided to us by the Company and the certificate from a director of the Company dated 8 July 2026 (together with the M&amp;A, the </w:t>
            </w:r>
            <w:r>
              <w:rPr>
                <w:b/>
              </w:rPr>
              <w:t>Company Records</w:t>
            </w:r>
            <w:r>
              <w:rPr/>
              <w:t>);</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(d)</w:t>
            </w:r>
          </w:p>
        </w:tc>
        <w:tc>
          <w:tcPr>
            <w:tcW w:w="9916" w:type="dxa"/>
            <w:tcBorders/>
            <w:vAlign w:val="center"/>
          </w:tcPr>
          <w:p>
            <w:pPr>
              <w:pStyle w:val="TableContents"/>
              <w:bidi w:val="0"/>
              <w:spacing w:before="0" w:after="283"/>
              <w:jc w:val="both"/>
              <w:rPr/>
            </w:pPr>
            <w:r>
              <w:rPr/>
              <w:t xml:space="preserve">written resolutions of the board of directors of the Company passed on 7 June 2026 approving (among other things) the filing of the Registration Statement with the Commission (the </w:t>
            </w:r>
            <w:r>
              <w:rPr>
                <w:b/>
              </w:rPr>
              <w:t>Resolutions</w:t>
            </w:r>
            <w:r>
              <w:rPr/>
              <w:t>);</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(e)</w:t>
            </w:r>
          </w:p>
        </w:tc>
        <w:tc>
          <w:tcPr>
            <w:tcW w:w="9925" w:type="dxa"/>
            <w:tcBorders/>
            <w:vAlign w:val="center"/>
          </w:tcPr>
          <w:p>
            <w:pPr>
              <w:pStyle w:val="TableContents"/>
              <w:bidi w:val="0"/>
              <w:spacing w:before="0" w:after="283"/>
              <w:jc w:val="both"/>
              <w:rPr/>
            </w:pPr>
            <w:r>
              <w:rPr/>
              <w:t xml:space="preserve">a certificate of good standing dated 29 June 2026, issued by the Registrar of Companies (the </w:t>
            </w:r>
            <w:r>
              <w:rPr>
                <w:b/>
              </w:rPr>
              <w:t>Registrar</w:t>
            </w:r>
            <w:r>
              <w:rPr/>
              <w:t>) in the Cayman Islands (the </w:t>
            </w:r>
            <w:r>
              <w:rPr>
                <w:b/>
              </w:rPr>
              <w:t>Certificate of Good Standing</w:t>
            </w:r>
            <w:r>
              <w:rPr/>
              <w:t>); and</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877"/>
        <w:gridCol w:w="9193"/>
      </w:tblGrid>
      <w:tr>
        <w:trPr/>
        <w:tc>
          <w:tcPr>
            <w:tcW w:w="13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pPr>
            <w:r>
              <w:rPr/>
              <w:t>(f)</w:t>
            </w:r>
          </w:p>
        </w:tc>
        <w:tc>
          <w:tcPr>
            <w:tcW w:w="9193" w:type="dxa"/>
            <w:tcBorders/>
            <w:vAlign w:val="center"/>
          </w:tcPr>
          <w:p>
            <w:pPr>
              <w:pStyle w:val="TableContents"/>
              <w:bidi w:val="0"/>
              <w:spacing w:before="0" w:after="283"/>
              <w:jc w:val="both"/>
              <w:rPr/>
            </w:pPr>
            <w:r>
              <w:rPr/>
              <w:t>the Registration Statement.</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294"/>
        <w:gridCol w:w="8666"/>
      </w:tblGrid>
      <w:tr>
        <w:trPr/>
        <w:tc>
          <w:tcPr>
            <w:tcW w:w="24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b/>
              </w:rPr>
            </w:pPr>
            <w:r>
              <w:rPr>
                <w:b/>
              </w:rPr>
              <w:t>2.</w:t>
            </w:r>
          </w:p>
        </w:tc>
        <w:tc>
          <w:tcPr>
            <w:tcW w:w="8666" w:type="dxa"/>
            <w:tcBorders/>
            <w:vAlign w:val="center"/>
          </w:tcPr>
          <w:p>
            <w:pPr>
              <w:pStyle w:val="TableContents"/>
              <w:bidi w:val="0"/>
              <w:spacing w:before="0" w:after="283"/>
              <w:jc w:val="both"/>
              <w:rPr>
                <w:b/>
              </w:rPr>
            </w:pPr>
            <w:r>
              <w:rPr>
                <w:b/>
              </w:rPr>
              <w:t>Assumptions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upon the following assumptions, which we have not independently verified:</w:t>
      </w:r>
    </w:p>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copies of documents or drafts of documents provided to us are true and complete copies of, or in the final forms of, the originals;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where a document has been examined by us in draft form, it will be or has been executed and/or filed in the form of the draft, and where a number of drafts of a document have been examined by us all changes thereto have been marked or otherwise drawn to our attention;</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33"/>
        <w:gridCol w:w="9833"/>
      </w:tblGrid>
      <w:tr>
        <w:trPr/>
        <w:tc>
          <w:tcPr>
            <w:tcW w:w="3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2.3</w:t>
            </w:r>
          </w:p>
        </w:tc>
        <w:tc>
          <w:tcPr>
            <w:tcW w:w="9833" w:type="dxa"/>
            <w:tcBorders/>
            <w:vAlign w:val="center"/>
          </w:tcPr>
          <w:p>
            <w:pPr>
              <w:pStyle w:val="TableContents"/>
              <w:bidi w:val="0"/>
              <w:spacing w:before="0" w:after="283"/>
              <w:jc w:val="both"/>
              <w:rPr/>
            </w:pPr>
            <w:r>
              <w:rPr/>
              <w:t>the accuracy and completeness of all factual representations made in the documents reviewed by us;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740"/>
        <w:gridCol w:w="9378"/>
      </w:tblGrid>
      <w:tr>
        <w:trPr/>
        <w:tc>
          <w:tcPr>
            <w:tcW w:w="8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pPr>
            <w:r>
              <w:rPr/>
              <w:t>2.4</w:t>
            </w:r>
          </w:p>
        </w:tc>
        <w:tc>
          <w:tcPr>
            <w:tcW w:w="9378" w:type="dxa"/>
            <w:tcBorders/>
            <w:vAlign w:val="center"/>
          </w:tcPr>
          <w:p>
            <w:pPr>
              <w:pStyle w:val="TableContents"/>
              <w:bidi w:val="0"/>
              <w:spacing w:before="0" w:after="283"/>
              <w:jc w:val="both"/>
              <w:rPr/>
            </w:pPr>
            <w:r>
              <w:rPr/>
              <w:t>the genuineness of all signatures and seals;</w:t>
            </w:r>
          </w:p>
        </w:tc>
      </w:tr>
    </w:tbl>
    <w:p>
      <w:pPr>
        <w:pStyle w:val="TextBody"/>
        <w:bidi w:val="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8" w:type="dxa"/>
            <w:tcBorders/>
            <w:vAlign w:val="center"/>
          </w:tcPr>
          <w:p>
            <w:pPr>
              <w:pStyle w:val="TableContents"/>
              <w:bidi w:val="0"/>
              <w:spacing w:before="0" w:after="283"/>
              <w:jc w:val="both"/>
              <w:rPr/>
            </w:pPr>
            <w:r>
              <w:rPr/>
              <w:t>the Resolutions were duly passed, are in full force and effect and have not been amended, revoked or superseded;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8" w:type="dxa"/>
            <w:tcBorders/>
            <w:vAlign w:val="center"/>
          </w:tcPr>
          <w:p>
            <w:pPr>
              <w:pStyle w:val="TableContents"/>
              <w:bidi w:val="0"/>
              <w:spacing w:before="0" w:after="283"/>
              <w:jc w:val="both"/>
              <w:rPr/>
            </w:pPr>
            <w:r>
              <w:rPr/>
              <w:t>there is nothing under any law (other than the laws of the Cayman Islands) which would or might affect the opinions set out below;</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2.7</w:t>
            </w:r>
          </w:p>
        </w:tc>
        <w:tc>
          <w:tcPr>
            <w:tcW w:w="9848" w:type="dxa"/>
            <w:tcBorders/>
            <w:vAlign w:val="center"/>
          </w:tcPr>
          <w:p>
            <w:pPr>
              <w:pStyle w:val="TableContents"/>
              <w:bidi w:val="0"/>
              <w:spacing w:before="0" w:after="283"/>
              <w:jc w:val="both"/>
              <w:rPr/>
            </w:pPr>
            <w:r>
              <w:rPr/>
              <w:t>the directors of the Company have not exceeded any applicable allotment authority conferred on the directors by the shareholders;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2.8</w:t>
            </w:r>
          </w:p>
        </w:tc>
        <w:tc>
          <w:tcPr>
            <w:tcW w:w="9848" w:type="dxa"/>
            <w:tcBorders/>
            <w:vAlign w:val="center"/>
          </w:tcPr>
          <w:p>
            <w:pPr>
              <w:pStyle w:val="TableContents"/>
              <w:bidi w:val="0"/>
              <w:spacing w:before="0" w:after="283"/>
              <w:jc w:val="both"/>
              <w:rPr/>
            </w:pPr>
            <w:r>
              <w:rPr/>
              <w:t>each director of the Company (and any alternate director) has disclosed to each other director any interest of that director (or alternate director) in the transactions contemplated by the Registration Statement in accordance with the M&amp;A;</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2.9</w:t>
            </w:r>
          </w:p>
        </w:tc>
        <w:tc>
          <w:tcPr>
            <w:tcW w:w="9848" w:type="dxa"/>
            <w:tcBorders/>
            <w:vAlign w:val="center"/>
          </w:tcPr>
          <w:p>
            <w:pPr>
              <w:pStyle w:val="TableContents"/>
              <w:bidi w:val="0"/>
              <w:spacing w:before="0" w:after="283"/>
              <w:jc w:val="both"/>
              <w:rPr/>
            </w:pPr>
            <w:r>
              <w:rPr/>
              <w:t>the Company Records were, when reviewed by us, and remain at the date of this opinion letter accurate and complete;</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2.10</w:t>
            </w:r>
          </w:p>
        </w:tc>
        <w:tc>
          <w:tcPr>
            <w:tcW w:w="9728" w:type="dxa"/>
            <w:tcBorders/>
            <w:vAlign w:val="center"/>
          </w:tcPr>
          <w:p>
            <w:pPr>
              <w:pStyle w:val="TableContents"/>
              <w:bidi w:val="0"/>
              <w:spacing w:before="0" w:after="283"/>
              <w:jc w:val="both"/>
              <w:rPr/>
            </w:pPr>
            <w:r>
              <w:rPr/>
              <w:t>each of the parties to the Governing Documents other than the Company is duly incorporated, formed or organised (as applicable), validly existing and in good standing under all relevant laws. Any individuals who are parties to the Governing Documents, or who sign or have signed documents or give information on which we rely, have the legal capacity under all relevant laws (including the laws of the Cayman Islands) to enter into and perform their obligations under such Governing Document, sign such documents and give such information;</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pPr>
            <w:r>
              <w:rPr/>
              <w:t>each Governing Document and the Non-Equity Securities have been, or will be, authorised and duly executed and unconditionally delivered by or on behalf of all relevant parties in accordance with all relevant laws and, in respect of the Company, in the manner authorised by the directors of the Company;</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2.12</w:t>
            </w:r>
          </w:p>
        </w:tc>
        <w:tc>
          <w:tcPr>
            <w:tcW w:w="9728" w:type="dxa"/>
            <w:tcBorders/>
            <w:vAlign w:val="center"/>
          </w:tcPr>
          <w:p>
            <w:pPr>
              <w:pStyle w:val="TableContents"/>
              <w:bidi w:val="0"/>
              <w:spacing w:before="0" w:after="283"/>
              <w:jc w:val="both"/>
              <w:rPr/>
            </w:pPr>
            <w:r>
              <w:rPr/>
              <w:t>the applicable Governing Documents will be legal, valid, binding and enforceable against all relevant parties in accordance with their terms under the applicable governing law and all other relevant laws. If an obligation is to be performed in a jurisdiction outside the Cayman Islands, its performance will not be contrary to an official directive, impossible or illegal under the laws of that jurisdiction;</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2.13</w:t>
            </w:r>
          </w:p>
        </w:tc>
        <w:tc>
          <w:tcPr>
            <w:tcW w:w="9728" w:type="dxa"/>
            <w:tcBorders/>
            <w:vAlign w:val="center"/>
          </w:tcPr>
          <w:p>
            <w:pPr>
              <w:pStyle w:val="TableContents"/>
              <w:bidi w:val="0"/>
              <w:spacing w:before="0" w:after="283"/>
              <w:jc w:val="both"/>
              <w:rPr/>
            </w:pPr>
            <w:r>
              <w:rPr/>
              <w:t>the choice of the governing law of the Governing Documents has, or will have, been made in good faith and would be regarded as a valid and binding selection which will be upheld by the courts of the relevant jurisdiction and any other relevant jurisdiction (other than the Cayman Islands) as a matter of the laws of that jurisdiction and all other relevant laws (other than the laws of the Cayman Islands);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2.14</w:t>
            </w:r>
          </w:p>
        </w:tc>
        <w:tc>
          <w:tcPr>
            <w:tcW w:w="9728" w:type="dxa"/>
            <w:tcBorders/>
            <w:vAlign w:val="center"/>
          </w:tcPr>
          <w:p>
            <w:pPr>
              <w:pStyle w:val="TableContents"/>
              <w:bidi w:val="0"/>
              <w:spacing w:before="0" w:after="283"/>
              <w:jc w:val="both"/>
              <w:rPr/>
            </w:pPr>
            <w:r>
              <w:rPr/>
              <w:t>no monies paid to or for the account of any party in respect of the Securities under the Governing Documents represent, or will represent, criminal property or terrorist property (as defined in the Proceeds of Crime Act (as amended) of the Cayman Islands and the Terrorism Act (as amended) of the Cayman Islands respectively) and none of the parties to the Governing Documents is acting or will act in relation to the transactions contemplated by the Governing Documents, in a manner inconsistent with sanctions imposed by Cayman Islands authorities, or United Nations or United Kingdom sanctions or measures extended by statutory instrument to the Cayman Islands by orders of Her Majesty in Council;</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2.15</w:t>
            </w:r>
          </w:p>
        </w:tc>
        <w:tc>
          <w:tcPr>
            <w:tcW w:w="9728" w:type="dxa"/>
            <w:tcBorders/>
            <w:vAlign w:val="center"/>
          </w:tcPr>
          <w:p>
            <w:pPr>
              <w:pStyle w:val="TableContents"/>
              <w:bidi w:val="0"/>
              <w:spacing w:before="0" w:after="283"/>
              <w:jc w:val="both"/>
              <w:rPr/>
            </w:pPr>
            <w:r>
              <w:rPr/>
              <w:t>the Non-Equity Securities will respectively be issued and authenticated as required in accordance with the provisions of a duly authorised, executed and delivered applicable Governing Document and the Non-Equity Securities will be legal, valid, binding and enforceable against all relevant parties in accordance with their terms under the laws of the applicable governing law and all other relevant laws (other than, with respect to the Company, the laws of the Cayman Islands);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2.16</w:t>
            </w:r>
          </w:p>
        </w:tc>
        <w:tc>
          <w:tcPr>
            <w:tcW w:w="9728" w:type="dxa"/>
            <w:tcBorders/>
            <w:vAlign w:val="center"/>
          </w:tcPr>
          <w:p>
            <w:pPr>
              <w:pStyle w:val="TableContents"/>
              <w:bidi w:val="0"/>
              <w:spacing w:before="0" w:after="283"/>
              <w:jc w:val="both"/>
              <w:rPr/>
            </w:pPr>
            <w:r>
              <w:rPr/>
              <w:t>the form and terms of any and all Securities,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then in effect nor any applicable law, regulation, order or decree in the Cayman Islands;</w:t>
            </w:r>
          </w:p>
        </w:tc>
      </w:tr>
    </w:tbl>
    <w:p>
      <w:pPr>
        <w:pStyle w:val="TextBody"/>
        <w:bidi w:val="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2.17</w:t>
            </w:r>
          </w:p>
        </w:tc>
        <w:tc>
          <w:tcPr>
            <w:tcW w:w="9728"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ind w:left="1276"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 and</w:t>
            </w:r>
          </w:p>
        </w:tc>
      </w:tr>
    </w:tbl>
    <w:p>
      <w:pPr>
        <w:pStyle w:val="TextBody"/>
        <w:bidi w:val="0"/>
        <w:ind w:left="1276"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neither the execution or delivery of the Governing Documents nor the exercise by any party to the Governing Documents of its rights or the performance of its obligations under them contravene those laws or public policies;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2.18</w:t>
            </w:r>
          </w:p>
        </w:tc>
        <w:tc>
          <w:tcPr>
            <w:tcW w:w="9728" w:type="dxa"/>
            <w:tcBorders/>
            <w:vAlign w:val="center"/>
          </w:tcPr>
          <w:p>
            <w:pPr>
              <w:pStyle w:val="TableContents"/>
              <w:bidi w:val="0"/>
              <w:spacing w:before="0" w:after="283"/>
              <w:jc w:val="both"/>
              <w:rPr/>
            </w:pPr>
            <w:r>
              <w:rPr/>
              <w:t>there are no agreements, documents or arrangements (other than the documents expressly referred to in this opinion letter as having been examined by us) that materially affect or modify the Governing Documents or the transactions contemplated by Governing Documents or restrict the powers and authority of the Company in any way from entering into and performing its obligations under a duly authorised, executed and delivered Governing Documents;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2.19</w:t>
            </w:r>
          </w:p>
        </w:tc>
        <w:tc>
          <w:tcPr>
            <w:tcW w:w="9728" w:type="dxa"/>
            <w:tcBorders/>
            <w:vAlign w:val="center"/>
          </w:tcPr>
          <w:p>
            <w:pPr>
              <w:pStyle w:val="TableContents"/>
              <w:bidi w:val="0"/>
              <w:spacing w:before="0" w:after="283"/>
              <w:jc w:val="both"/>
              <w:rPr/>
            </w:pPr>
            <w:r>
              <w:rPr/>
              <w:t>the Company has obtained, or will obtain prior to execution, all consents, licences, approvals and authorisations of any governmental or regulatory authority or agency or of any other person that it is required to obtain pursuant to the laws of all relevant jurisdictions (other than those of the Cayman Islands) to ensure the legality, validity, enforceability, proper performance and admissibility in evidence of the Governing Documents. Any conditions to which such consents, licences, approvals and authorisations are subject have been, and will continue to be, satisfied or waived by the parties entitled to the benefit of them; and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2.20</w:t>
            </w:r>
          </w:p>
        </w:tc>
        <w:tc>
          <w:tcPr>
            <w:tcW w:w="9728" w:type="dxa"/>
            <w:tcBorders/>
            <w:vAlign w:val="center"/>
          </w:tcPr>
          <w:p>
            <w:pPr>
              <w:pStyle w:val="TableContents"/>
              <w:bidi w:val="0"/>
              <w:spacing w:before="0" w:after="283"/>
              <w:jc w:val="both"/>
              <w:rPr/>
            </w:pPr>
            <w:r>
              <w:rPr/>
              <w:t>all necessary corporate action will be taken to authorise and approve any issuance of Securities and the terms of the offering of such Securities thereof and other related matters and that the applicable definitive purchase, underwriting or similar agreement will be duly approved, executed and delivered by or on behalf of the Company and all other parties thereto.</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3"/>
        <w:gridCol w:w="1859"/>
        <w:gridCol w:w="7993"/>
      </w:tblGrid>
      <w:tr>
        <w:trPr/>
        <w:tc>
          <w:tcPr>
            <w:tcW w:w="3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b/>
              </w:rPr>
            </w:pPr>
            <w:r>
              <w:rPr>
                <w:b/>
              </w:rPr>
              <w:t>3.</w:t>
            </w:r>
          </w:p>
        </w:tc>
        <w:tc>
          <w:tcPr>
            <w:tcW w:w="7993" w:type="dxa"/>
            <w:tcBorders/>
            <w:vAlign w:val="center"/>
          </w:tcPr>
          <w:p>
            <w:pPr>
              <w:pStyle w:val="TableContents"/>
              <w:bidi w:val="0"/>
              <w:spacing w:before="0" w:after="283"/>
              <w:jc w:val="both"/>
              <w:rPr>
                <w:b/>
              </w:rPr>
            </w:pPr>
            <w:r>
              <w:rPr>
                <w:b/>
              </w:rPr>
              <w:t>Opinion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 xml:space="preserve">The Company is incorporated under the Companies Act (as amended) of the Cayman Islands (the </w:t>
            </w:r>
            <w:r>
              <w:rPr>
                <w:b/>
              </w:rPr>
              <w:t>Companies Act</w:t>
            </w:r>
            <w:r>
              <w:rPr/>
              <w:t>), validly exists under the laws of the Cayman Islands as an exempted company and is in good standing with the Registrar. The Company is deemed to be in good standing on the date of issue of the Certificate of Good Standing if it:</w:t>
            </w:r>
          </w:p>
        </w:tc>
      </w:tr>
    </w:tbl>
    <w:p>
      <w:pPr>
        <w:pStyle w:val="TextBody"/>
        <w:bidi w:val="0"/>
        <w:ind w:left="1276"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62"/>
        <w:gridCol w:w="9680"/>
      </w:tblGrid>
      <w:tr>
        <w:trPr/>
        <w:tc>
          <w:tcPr>
            <w:tcW w:w="6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pPr>
            <w:r>
              <w:rPr/>
              <w:t>(a)</w:t>
            </w:r>
          </w:p>
        </w:tc>
        <w:tc>
          <w:tcPr>
            <w:tcW w:w="9680" w:type="dxa"/>
            <w:tcBorders/>
            <w:vAlign w:val="center"/>
          </w:tcPr>
          <w:p>
            <w:pPr>
              <w:pStyle w:val="TableContents"/>
              <w:bidi w:val="0"/>
              <w:spacing w:before="0" w:after="283"/>
              <w:jc w:val="both"/>
              <w:rPr/>
            </w:pPr>
            <w:r>
              <w:rPr/>
              <w:t>has paid all fees and penalties under the Companies Act; and</w:t>
            </w:r>
          </w:p>
        </w:tc>
      </w:tr>
    </w:tbl>
    <w:p>
      <w:pPr>
        <w:pStyle w:val="TextBody"/>
        <w:bidi w:val="0"/>
        <w:ind w:left="1276"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08"/>
        <w:gridCol w:w="9744"/>
      </w:tblGrid>
      <w:tr>
        <w:trPr/>
        <w:tc>
          <w:tcPr>
            <w:tcW w:w="5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(b)</w:t>
            </w:r>
          </w:p>
        </w:tc>
        <w:tc>
          <w:tcPr>
            <w:tcW w:w="9744" w:type="dxa"/>
            <w:tcBorders/>
            <w:vAlign w:val="center"/>
          </w:tcPr>
          <w:p>
            <w:pPr>
              <w:pStyle w:val="TableContents"/>
              <w:bidi w:val="0"/>
              <w:spacing w:before="0" w:after="283"/>
              <w:jc w:val="both"/>
              <w:rPr/>
            </w:pPr>
            <w:r>
              <w:rPr/>
              <w:t>is not, to the Registrar’s knowledge, in default under the Companies Act.</w:t>
            </w:r>
          </w:p>
        </w:tc>
      </w:tr>
    </w:tbl>
    <w:p>
      <w:pPr>
        <w:pStyle w:val="TextBody"/>
        <w:bidi w:val="0"/>
        <w:ind w:left="706" w:right="0" w:hanging="70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730"/>
        <w:gridCol w:w="9389"/>
      </w:tblGrid>
      <w:tr>
        <w:trPr/>
        <w:tc>
          <w:tcPr>
            <w:tcW w:w="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pPr>
            <w:r>
              <w:rPr/>
              <w:t>3.2</w:t>
            </w:r>
          </w:p>
        </w:tc>
        <w:tc>
          <w:tcPr>
            <w:tcW w:w="9389" w:type="dxa"/>
            <w:tcBorders/>
            <w:vAlign w:val="center"/>
          </w:tcPr>
          <w:p>
            <w:pPr>
              <w:pStyle w:val="TableContents"/>
              <w:bidi w:val="0"/>
              <w:spacing w:before="0" w:after="283"/>
              <w:jc w:val="both"/>
              <w:rPr/>
            </w:pPr>
            <w:r>
              <w:rPr/>
              <w:t>With respect to the Ordinary Shares, when:</w:t>
            </w:r>
          </w:p>
        </w:tc>
      </w:tr>
    </w:tbl>
    <w:p>
      <w:pPr>
        <w:pStyle w:val="TextBody"/>
        <w:bidi w:val="0"/>
        <w:ind w:left="1411" w:right="0" w:hanging="69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the directors of the Company have taken all necessary corporate actions to approve the issuance and allotment of the Ordinary Shares, the terms of the offering of such Ordinary Shares and any other related matters;</w:t>
            </w:r>
          </w:p>
        </w:tc>
      </w:tr>
    </w:tbl>
    <w:p>
      <w:pPr>
        <w:pStyle w:val="TextBody"/>
        <w:bidi w:val="0"/>
        <w:ind w:left="1417" w:right="0" w:hanging="697"/>
        <w:jc w:val="both"/>
        <w:rPr>
          <w:caps w:val="false"/>
          <w:smallCaps w:val="false"/>
        </w:rPr>
      </w:pPr>
      <w:r>
        <w:rPr>
          <w:caps w:val="false"/>
          <w:smallCaps w:val="false"/>
        </w:rPr>
        <w:t> </w:t>
      </w:r>
    </w:p>
    <w:p>
      <w:pPr>
        <w:pStyle w:val="TextBody"/>
        <w:bidi w:val="0"/>
        <w:spacing w:before="0" w:after="0"/>
        <w:ind w:left="1417" w:right="0" w:hanging="69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ind w:left="1417" w:right="0" w:hanging="69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either (i) the provisions of the applicable definitive purchase, underwriting or similar agreement approved by the directors of the Company have been satisfied and payment of the consideration specified therein (being not less than the par value of the relevant Ordinary Shares) has been made, or (ii) if such Ordinary Shares are issuable upon conversion, exchange, redemption, repurchase or exercise of any other security, the terms of such security, the M&amp;A or the instrument governing such security providing for such conversion, exchange, redemption, repurchase or exercise for Ordinary Shares, as approved by the directors of the Company, have been satisfied and the consideration approved by the directors of the Company (being not less than the par value of the relevant Ordinary Shares) received; and</w:t>
            </w:r>
          </w:p>
        </w:tc>
      </w:tr>
    </w:tbl>
    <w:p>
      <w:pPr>
        <w:pStyle w:val="TextBody"/>
        <w:bidi w:val="0"/>
        <w:ind w:left="1417" w:right="0" w:hanging="69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283"/>
              <w:jc w:val="both"/>
              <w:rPr/>
            </w:pPr>
            <w:r>
              <w:rPr/>
              <w:t>valid entry has been made in the register of members of the Company reflecting such issuance of Ordinary Shares, in each case in accordance with the M&amp;A,</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will be recognised as having been duly authorised and validly issued, fully paid and non-assessable.</w:t>
      </w:r>
    </w:p>
    <w:p>
      <w:pPr>
        <w:pStyle w:val="TextBody"/>
        <w:bidi w:val="0"/>
        <w:ind w:left="706" w:right="0" w:hanging="70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21"/>
        <w:gridCol w:w="9623"/>
      </w:tblGrid>
      <w:tr>
        <w:trPr/>
        <w:tc>
          <w:tcPr>
            <w:tcW w:w="6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pPr>
            <w:r>
              <w:rPr/>
              <w:t>3.3</w:t>
            </w:r>
          </w:p>
        </w:tc>
        <w:tc>
          <w:tcPr>
            <w:tcW w:w="9623" w:type="dxa"/>
            <w:tcBorders/>
            <w:vAlign w:val="center"/>
          </w:tcPr>
          <w:p>
            <w:pPr>
              <w:pStyle w:val="TableContents"/>
              <w:bidi w:val="0"/>
              <w:spacing w:before="0" w:after="283"/>
              <w:jc w:val="both"/>
              <w:rPr/>
            </w:pPr>
            <w:r>
              <w:rPr/>
              <w:t>With respect to each issue of Share Purchase Contracts, when:</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the directors of the Company have taken all necessary corporate actions to authorise and approve the creation and terms of the Share Purchase Contracts and to approve the issue thereof, the terms of the offering thereof and related matters; and</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a Share Purchase Contracts Document relating to the Share Purchase Contracts shall have been duly authorised and validly executed and unconditionally delivered by the Company and the financial institution designated as unit agent thereunder;</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Contracts will be duly authorised and validly issued and will constitute legal, valid and binding obligations of the Company, enforceable against the Company in accordance with their terms.</w:t>
      </w:r>
    </w:p>
    <w:p>
      <w:pPr>
        <w:pStyle w:val="TextBody"/>
        <w:bidi w:val="0"/>
        <w:ind w:left="706" w:right="0" w:hanging="70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555"/>
        <w:gridCol w:w="9585"/>
      </w:tblGrid>
      <w:tr>
        <w:trPr/>
        <w:tc>
          <w:tcPr>
            <w:tcW w:w="6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3.4</w:t>
            </w:r>
          </w:p>
        </w:tc>
        <w:tc>
          <w:tcPr>
            <w:tcW w:w="9585" w:type="dxa"/>
            <w:tcBorders/>
            <w:vAlign w:val="center"/>
          </w:tcPr>
          <w:p>
            <w:pPr>
              <w:pStyle w:val="TableContents"/>
              <w:bidi w:val="0"/>
              <w:spacing w:before="0" w:after="283"/>
              <w:jc w:val="both"/>
              <w:rPr/>
            </w:pPr>
            <w:r>
              <w:rPr/>
              <w:t>With respect to each issue of Share Purchase Units, when:</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the directors of the Company have taken all necessary corporate actions to authorise and approve the creation and terms of the Share Purchase Units and to approve the issue of the Securities which are components thereof, the terms of the offering thereof and related matters;</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a Share Purchase Unit Document relating to the Share Purchase Units shall have been duly authorised and validly executed and unconditionally delivered by the Company and the financial institution designated as unit agent thereunder;</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in respect of any Debt Securities which are components of the Share Purchase Units, the Debt Securities shall have been duly authorised and validly executed and unconditionally delivered by the Company and all relevant parties thereunder;</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in respect of any Warrants which are components of the Share Purchase Units, a Warrant Document shall have been duly authorised and validly executed and unconditionally delivered by the Company and the warrant agent thereunder, if any, in respect of any Warrants which are components of the Share Purchase Units; and</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t>the Share Purchase Units and any Securities which are components of the Share Purchase Units shall have been duly executed, countersigned, authenticated, issued, registered and delivered (in each case, as and when applicable), in accordance with the provisions of (i) the applicable Share Purchase Unit Document relating to the Share Purchase Units, (ii) the applicable Debt Document relating to any Debt Securities which are components of the Share Purchase Units, (iii) the applicable Warrant Document relating to any Warrants which are components of the Share Purchase Units, and (iv) the applicable definitive purchase, underwriting or similar agreement approved by the directors of the Company, and upon payment of the consideration therefor provided therein,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Units will be duly authorised and validly issued and will constitute legal, valid and binding obligations of the Company, enforceable against the Company in accordance with their terms.</w:t>
      </w:r>
    </w:p>
    <w:p>
      <w:pPr>
        <w:pStyle w:val="TextBody"/>
        <w:bidi w:val="0"/>
        <w:ind w:left="706" w:right="0" w:hanging="706"/>
        <w:jc w:val="both"/>
        <w:rPr>
          <w:caps w:val="false"/>
          <w:smallCaps w:val="false"/>
        </w:rPr>
      </w:pPr>
      <w:r>
        <w:rPr>
          <w:caps w:val="false"/>
          <w:smallCaps w:val="false"/>
        </w:rPr>
        <w:t> </w:t>
      </w:r>
    </w:p>
    <w:p>
      <w:pPr>
        <w:pStyle w:val="TextBody"/>
        <w:bidi w:val="0"/>
        <w:spacing w:before="0" w:after="0"/>
        <w:ind w:left="706" w:right="0" w:hanging="70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ind w:left="706" w:right="0" w:hanging="70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863"/>
        <w:gridCol w:w="9240"/>
      </w:tblGrid>
      <w:tr>
        <w:trPr/>
        <w:tc>
          <w:tcPr>
            <w:tcW w:w="1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pPr>
            <w:r>
              <w:rPr/>
              <w:t>3.5</w:t>
            </w:r>
          </w:p>
        </w:tc>
        <w:tc>
          <w:tcPr>
            <w:tcW w:w="9240" w:type="dxa"/>
            <w:tcBorders/>
            <w:vAlign w:val="center"/>
          </w:tcPr>
          <w:p>
            <w:pPr>
              <w:pStyle w:val="TableContents"/>
              <w:bidi w:val="0"/>
              <w:spacing w:before="0" w:after="283"/>
              <w:jc w:val="both"/>
              <w:rPr/>
            </w:pPr>
            <w:r>
              <w:rPr/>
              <w:t>With respect to the Warrants, when:</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the directors of the Company have taken all necessary corporate actions to authorise and approve the creation and terms of the Warrants and to approve the issue thereof, the terms of the offering thereof and related matters;</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a Warrant Document relating to the Warrants shall have been duly authorised and validly executed and unconditionally delivered by the Company and the warrant agent thereunder; and</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the certificates representing the Warrants have been duly executed, countersigned, registered and delivered in accordance with the Warrant Document relating to the Warrants and the applicable definitive purchase, underwriting or similar agreement approved by the directors of the Company upon payment of the consideration therefor provided therein,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duly authorised and validly issued and will constitute legal, valid and binding obligations of the Company, enforceable against the Company in accordance with their terms.</w:t>
      </w:r>
    </w:p>
    <w:p>
      <w:pPr>
        <w:pStyle w:val="TextBody"/>
        <w:bidi w:val="0"/>
        <w:ind w:left="706" w:right="0" w:hanging="70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8"/>
        <w:gridCol w:w="9369"/>
      </w:tblGrid>
      <w:tr>
        <w:trPr/>
        <w:tc>
          <w:tcPr>
            <w:tcW w:w="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pPr>
            <w:r>
              <w:rPr/>
              <w:t>3.6</w:t>
            </w:r>
          </w:p>
        </w:tc>
        <w:tc>
          <w:tcPr>
            <w:tcW w:w="9369" w:type="dxa"/>
            <w:tcBorders/>
            <w:vAlign w:val="center"/>
          </w:tcPr>
          <w:p>
            <w:pPr>
              <w:pStyle w:val="TableContents"/>
              <w:bidi w:val="0"/>
              <w:spacing w:before="0" w:after="283"/>
              <w:jc w:val="both"/>
              <w:rPr/>
            </w:pPr>
            <w:r>
              <w:rPr/>
              <w:t>With respect to the Debt Securities, when:</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t>the directors of the Company have taken all necessary corporate actions to authorise and approve the creation and terms of the Debt Securities and to approve the issue thereof, the terms of the offering thereof and related matters; and</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919" w:type="dxa"/>
            <w:tcBorders/>
            <w:vAlign w:val="center"/>
          </w:tcPr>
          <w:p>
            <w:pPr>
              <w:pStyle w:val="TableContents"/>
              <w:bidi w:val="0"/>
              <w:spacing w:before="0" w:after="283"/>
              <w:jc w:val="both"/>
              <w:rPr/>
            </w:pPr>
            <w:r>
              <w:rPr/>
              <w:t>a Debt Document relating to the Debt Securities shall have been duly authorised and validly executed and unconditionally delivered by the Company,</w:t>
            </w:r>
          </w:p>
        </w:tc>
      </w:tr>
    </w:tbl>
    <w:p>
      <w:pPr>
        <w:pStyle w:val="TextBody"/>
        <w:bidi w:val="0"/>
        <w:ind w:left="706" w:right="0" w:hanging="0"/>
        <w:jc w:val="both"/>
        <w:rPr>
          <w:caps w:val="false"/>
          <w:smallCaps w:val="false"/>
        </w:rPr>
      </w:pPr>
      <w:r>
        <w:rPr>
          <w:caps w:val="false"/>
          <w:smallCaps w:val="false"/>
        </w:rPr>
        <w:t> </w:t>
      </w:r>
    </w:p>
    <w:p>
      <w:pPr>
        <w:pStyle w:val="TextBody"/>
        <w:bidi w:val="0"/>
        <w:ind w:left="70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duly authorised and validly issued and will constitute legal, valid and binding obligations of the Company, enforceable against the Company in accordance with their terms.</w:t>
      </w:r>
    </w:p>
    <w:p>
      <w:pPr>
        <w:pStyle w:val="TextBody"/>
        <w:bidi w:val="0"/>
        <w:ind w:left="706" w:right="0" w:hanging="70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922"/>
        <w:gridCol w:w="9174"/>
      </w:tblGrid>
      <w:tr>
        <w:trPr/>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pPr>
            <w:r>
              <w:rPr/>
              <w:t>3.7</w:t>
            </w:r>
          </w:p>
        </w:tc>
        <w:tc>
          <w:tcPr>
            <w:tcW w:w="9174" w:type="dxa"/>
            <w:tcBorders/>
            <w:vAlign w:val="center"/>
          </w:tcPr>
          <w:p>
            <w:pPr>
              <w:pStyle w:val="TableContents"/>
              <w:bidi w:val="0"/>
              <w:spacing w:before="0" w:after="283"/>
              <w:jc w:val="both"/>
              <w:rPr/>
            </w:pPr>
            <w:r>
              <w:rPr/>
              <w:t>With respect to the Rights, when:</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the directors of the Company have taken all necessary corporate actions to authorise and approve the creation and terms of the Rights and to approve the issue thereof, the terms of the offering thereof and related matters;</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a Rights Document relating to the Rights shall have been duly authorised and validly executed and unconditionally delivered by the Company and the financial institution designated as rights agent thereunder; and</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the certificates representing the Rights shall have been duly executed, countersigned, issued, registered and delivered in accordance with the Rights Document, and the applicable definitive purchase, underwriting or similar agreement approved by the directors of the Company upon payment of the consideration therefor provided therein,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be duly authorised and validly issued and will constitute legal, valid and binding obligations of the Company, enforceable against the Company in accordance with their terms.</w:t>
      </w:r>
    </w:p>
    <w:p>
      <w:pPr>
        <w:pStyle w:val="TextBody"/>
        <w:bidi w:val="0"/>
        <w:ind w:left="706" w:right="0" w:hanging="706"/>
        <w:jc w:val="both"/>
        <w:rPr>
          <w:caps w:val="false"/>
          <w:smallCaps w:val="false"/>
        </w:rPr>
      </w:pPr>
      <w:r>
        <w:rPr>
          <w:caps w:val="false"/>
          <w:smallCaps w:val="false"/>
        </w:rPr>
        <w:t> </w:t>
      </w:r>
    </w:p>
    <w:p>
      <w:pPr>
        <w:pStyle w:val="TextBody"/>
        <w:bidi w:val="0"/>
        <w:spacing w:before="0" w:after="0"/>
        <w:ind w:left="706" w:right="0" w:hanging="70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ind w:left="706" w:right="0" w:hanging="70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8"/>
        <w:gridCol w:w="9369"/>
      </w:tblGrid>
      <w:tr>
        <w:trPr/>
        <w:tc>
          <w:tcPr>
            <w:tcW w:w="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pPr>
            <w:r>
              <w:rPr/>
              <w:t>3.8</w:t>
            </w:r>
          </w:p>
        </w:tc>
        <w:tc>
          <w:tcPr>
            <w:tcW w:w="9369" w:type="dxa"/>
            <w:tcBorders/>
            <w:vAlign w:val="center"/>
          </w:tcPr>
          <w:p>
            <w:pPr>
              <w:pStyle w:val="TableContents"/>
              <w:bidi w:val="0"/>
              <w:spacing w:before="0" w:after="283"/>
              <w:jc w:val="both"/>
              <w:rPr/>
            </w:pPr>
            <w:r>
              <w:rPr/>
              <w:t>With respect to each issue of Units, when:</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the directors of the Company have taken all necessary corporate actions to authorise and approve the creation and terms of the Units and to approve the issue of the Securities which are components thereof, the terms of the offering thereof and related matters;</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a Unit Document relating to the Units shall have been duly authorised and validly executed and unconditionally delivered by the Company and the financial institution designated as unit agent thereunder;</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in respect of any Debt Securities which are components of the Units, the Debt Securities shall have been duly authorised and validly executed and unconditionally delivered by the Company and all relevant parties thereunder;</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pPr>
            <w:r>
              <w:rPr/>
              <w:t>in respect of any Warrants which are components of the Units, a Warrant Document shall have been duly authorised and validly executed and unconditionally delivered by the Company and the warrant agent thereunder, if any, in respect of any Warrants which are components of the Units; and</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t>the Units and any Securities which are components of the Units shall have been duly executed, countersigned, authenticated, issued, registered and delivered (in each case, as and when applicable), in accordance with the provisions of (i) the applicable Unit Document relating to the Units, (ii) the applicable Debt Document relating to any Debt Securities which are components of the Units, (iii) the applicable Warrant Document relating to any Warrants which are components of the Units, and (iv) the applicable definitive purchase, underwriting or similar agreement approved by the directors of the Company, and upon payment of the consideration therefor provided therein,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will be duly authorised and validly issued and will constitute legal, valid and binding obligations of the Company.</w:t>
      </w:r>
    </w:p>
    <w:p>
      <w:pPr>
        <w:pStyle w:val="TextBody"/>
        <w:bidi w:val="0"/>
        <w:ind w:left="706" w:right="0" w:hanging="70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3.9</w:t>
            </w:r>
          </w:p>
        </w:tc>
        <w:tc>
          <w:tcPr>
            <w:tcW w:w="9848" w:type="dxa"/>
            <w:tcBorders/>
            <w:vAlign w:val="center"/>
          </w:tcPr>
          <w:p>
            <w:pPr>
              <w:pStyle w:val="TableContents"/>
              <w:bidi w:val="0"/>
              <w:spacing w:before="0" w:after="283"/>
              <w:jc w:val="both"/>
              <w:rPr/>
            </w:pPr>
            <w:r>
              <w:rPr/>
              <w:t>The statements under the caption “Enforceability of Civil Liabilities – Cayman Islands”, “Taxation – Cayman Islands Taxation”, and “Description of Share Capital and Articles of Association” in the prospectus forming part of the Registration Statement are accurate in so far as such statements are summaries of or relate to Cayman Islands law, and such statements constitute our opinion.</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223"/>
        <w:gridCol w:w="8750"/>
      </w:tblGrid>
      <w:tr>
        <w:trPr/>
        <w:tc>
          <w:tcPr>
            <w:tcW w:w="23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b/>
              </w:rPr>
            </w:pPr>
            <w:r>
              <w:rPr>
                <w:b/>
              </w:rPr>
              <w:t>4.</w:t>
            </w:r>
          </w:p>
        </w:tc>
        <w:tc>
          <w:tcPr>
            <w:tcW w:w="8750" w:type="dxa"/>
            <w:tcBorders/>
            <w:vAlign w:val="center"/>
          </w:tcPr>
          <w:p>
            <w:pPr>
              <w:pStyle w:val="TableContents"/>
              <w:bidi w:val="0"/>
              <w:spacing w:before="0" w:after="283"/>
              <w:jc w:val="both"/>
              <w:rPr>
                <w:b/>
              </w:rPr>
            </w:pPr>
            <w:r>
              <w:rPr>
                <w:b/>
              </w:rPr>
              <w:t>Qualifications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376"/>
        <w:gridCol w:w="8666"/>
      </w:tblGrid>
      <w:tr>
        <w:trPr/>
        <w:tc>
          <w:tcPr>
            <w:tcW w:w="1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pPr>
            <w:r>
              <w:rPr/>
              <w:t>4.1</w:t>
            </w:r>
          </w:p>
        </w:tc>
        <w:tc>
          <w:tcPr>
            <w:tcW w:w="8666" w:type="dxa"/>
            <w:tcBorders/>
            <w:vAlign w:val="center"/>
          </w:tcPr>
          <w:p>
            <w:pPr>
              <w:pStyle w:val="TableContents"/>
              <w:bidi w:val="0"/>
              <w:spacing w:before="0" w:after="283"/>
              <w:jc w:val="both"/>
              <w:rPr/>
            </w:pPr>
            <w:r>
              <w:rPr/>
              <w:t>We offer no opinion:</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as to any laws other than the laws of the Cayman Islands, and we have not, for the purposes of this opinion letter, made any investigation of the laws of any other jurisdiction, and we express no opinion as to the meaning, validity, or effect of references in the Registration Statement and the Governing Documents to statutes, rules, regulations, codes or judicial authority of any jurisdiction other than the Cayman Islands;</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except to the extent that this opinion letter expressly provides otherwise, as to the commercial terms of, or the validity, enforceability or effect of the Registration Statement or any of the Governing Documents, the accuracy of representations, the fulfilment of warranties or conditions, the occurrence of events of default or terminating events or the existence of any conflicts or inconsistencies among the Registration Statement, the Governing Documents and any other agreements into which the Company may have entered or any other documents; or</w:t>
            </w:r>
          </w:p>
        </w:tc>
      </w:tr>
    </w:tbl>
    <w:p>
      <w:pPr>
        <w:pStyle w:val="TextBody"/>
        <w:bidi w:val="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as to whether the acceptance, execution or performance of the Company’s obligations under the Governing Documents will result in the breach of or infringe any other agreement, deed or document (other than the M&amp;A) entered into by or binding on the Company.</w:t>
            </w:r>
          </w:p>
        </w:tc>
      </w:tr>
    </w:tbl>
    <w:p>
      <w:pPr>
        <w:pStyle w:val="TextBody"/>
        <w:bidi w:val="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Under the Companies Act, annual returns in respect of the Company must be filed with the Registrar of Companies in the Cayman Islands, together with the payment of annual filing fees. A failure to file annual returns and pay annual filing fees may result in the Company being struck off the Registrar of Companies, following which its assets will vest in the Financial Secretary of the Cayman Islands and will be subject to disposition or retention for the benefit of the public of the Cayman Islands.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 xml:space="preserve">In this opinion letter the phrase </w:t>
            </w:r>
            <w:r>
              <w:rPr>
                <w:b/>
              </w:rPr>
              <w:t>non-assessable</w:t>
            </w:r>
            <w:r>
              <w:rPr/>
              <w:t xml:space="preserve"> means, with respect to Ordinary Shares in the Company, that a member shall not, solely by virtue of its status as a member, be liable for additional assessments or calls on the Ordinary Shares by the Company or its creditors (except in exceptional circumstances and subject to the M&amp;A, such as involving fraud, the establishment of an agency relationship or an illegal or improper purpose or other circumstances in which a court may be prepared to pierce or lift the corporate veil).</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We reserve our opinion as to the extent to which the courts of the Cayman Islands would, in the event of any relevant illegality or invalidity, sever the relevant provisions of the Governing Documents and the Non-Equity Securities and enforce the remainder of the Governing Documents and Non-Equity Securities or the transaction of which such provisions form a part, notwithstanding any relevant express provisions in this regard.</w:t>
            </w:r>
          </w:p>
        </w:tc>
      </w:tr>
    </w:tbl>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1740"/>
        <w:gridCol w:w="8135"/>
      </w:tblGrid>
      <w:tr>
        <w:trPr/>
        <w:tc>
          <w:tcPr>
            <w:tcW w:w="3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b/>
              </w:rPr>
            </w:pPr>
            <w:r>
              <w:rPr>
                <w:b/>
              </w:rPr>
              <w:t>5.</w:t>
            </w:r>
          </w:p>
        </w:tc>
        <w:tc>
          <w:tcPr>
            <w:tcW w:w="8135" w:type="dxa"/>
            <w:tcBorders/>
            <w:vAlign w:val="center"/>
          </w:tcPr>
          <w:p>
            <w:pPr>
              <w:pStyle w:val="TableContents"/>
              <w:bidi w:val="0"/>
              <w:spacing w:before="0" w:after="283"/>
              <w:jc w:val="both"/>
              <w:rPr>
                <w:b/>
              </w:rPr>
            </w:pPr>
            <w:r>
              <w:rPr>
                <w:b/>
              </w:rPr>
              <w:t xml:space="preserve">Consent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reference to our name under the headings “Legal Matters” and “Enforceability of Civil Liabilities” in the Registration Statement. In giving such consent, we do not hereby admit that we are experts within the meaning of Section 11 of the Act or that we come within the category of persons whose consent is required under Section 7 of the Act or the Rules and Regulations of the Commission promulgated thereunder.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Mourant Ozannes (Cayman) LLP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Mourant Ozannes (Cayman) LLP</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1" w:name="anbioex5-2.htm"/>
      <w:bookmarkStart w:id="32" w:name="ksanbioex52"/>
      <w:bookmarkEnd w:id="31"/>
      <w:bookmarkEnd w:id="32"/>
      <w:r>
        <w:rPr>
          <w:rFonts w:ascii="Times New Roman;Times;Serif" w:hAnsi="Times New Roman;Times;Serif"/>
          <w:b/>
          <w:i w:val="false"/>
          <w:caps w:val="false"/>
          <w:smallCaps w:val="false"/>
          <w:sz w:val="20"/>
        </w:rPr>
        <w:t>Exhibit 5.2</w:t>
      </w:r>
      <w:r>
        <w:br w:type="page"/>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2419350"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2419350" cy="2762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Anbio Biotechnology</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366 Madison Avenue</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3rd Floor</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New York, NY 10017</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tel: (212) 588-0022</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fax: (212) 826-9307</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Anbio Biotechnology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Friedrich-Ebert-Anlage 35-37,</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60327 Frankfurt am Main,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United States counsel to Anbio Biotechnology, a company incorporated in the Cayman Islands (the “Company”), in connection with the registration statement on Form F-3, filed the date hereof (the “Registration Statement”), including all amendments and supplements thereto, and accompanying prospectus filed with the U.S. Securities and Exchange Commission (the “SEC”) under the Securities Act of 1933, as amended (the “Securities Act”), with respect to the offering by the Company of securities which may include Class A ordinary shares, of par value $0.000000001 (“Class A Ordinary Shares”), share purchase contracts (“Share Purchase Contracts”), share purchase units (“Share Purchase Units”), warrants (“Warrants”), debt securities (“Debt Securities”), rights (“Rights”), units (“Units” and, together with the Class A Ordinary Shares, the Share Purchase Contracts, the Share Purchase Units, the Warrants, the Debt Securities, the Rights, the “Securities”) or any combination of the Securities (the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examined originals or copies, certified or otherwise identified to our satisfaction, of: (i) the Registration Statement; (ii) the prospectus of the Company (the “Prospectus”) included in the Registration Statement; (iii) the form of senior indenture to be entered into by the Company (the “Senior Indenture”, filed as Exhibit 4.2 to the Registration Statement), (iv) the form of subordinated indenture to be entered into by the Company (the “Subordinated Indenture”, filed as Exhibit 4.3 to the Registration Statement, and together with the Senior Indenture, the “Indentures”), (v) the opinion of Mourant Ozannes (Cayman) LLP dated July 9, 2026 (filed as Exhibit 5.1 to the Registration Statement), (vi) each document incorporated or deemed to be incorporated by reference into the Registration Statement and (vii) such corporate documents and records of the Company and such other instruments, certificates and documents as we have deemed necessary or appropriate as a basis for the opinions hereinafter expressed. 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various questions of fact which are material to the opinions hereinafter expressed, we have relied upon statements or certificates of public officials, directors of the Company and others.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further assumed for the purposes of this opinion, without investigation, that (i) each of the Share Purchase Contracts, the Share Purchase Units, the Warrants, the Debt Securities, the Rights and the Units will be governed by, and construed in accordance with, the laws of the State of New York, (ii) all documents contemplated by the Prospectus to be executed in connection with the Offering (the “Operative Agreements”) will have been duly authorized, executed and delivered by each of the parties thereto prior to any issuance of the relevant securities, (iii) the terms of the Offering comply in all respects with the terms, conditions and restrictions set forth in the Prospectus and all of the instruments, agreements and other documents relating thereto or executed in connection therewith.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not hereby rendering any opinion with respect to any Class A Ordinary Shares issuable upon the conversion, exercise or exchange, as applicable, of any Debt Securities, Warrants, Rights, Share Purchase Contracts, Share Purchase Units, Units or any other Securities registered under the Registration Statement.</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2419350"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2419350" cy="276225"/>
                    </a:xfrm>
                    <a:prstGeom prst="rect">
                      <a:avLst/>
                    </a:prstGeom>
                  </pic:spPr>
                </pic:pic>
              </a:graphicData>
            </a:graphic>
          </wp:inline>
        </w:drawing>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Anbio Biotechnology</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Subject to the foregoing and the qualifications set forth in the Registration Statement, we are of the opinion that:</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1.</w:t>
            </w:r>
          </w:p>
        </w:tc>
        <w:tc>
          <w:tcPr>
            <w:tcW w:w="10045" w:type="dxa"/>
            <w:tcBorders/>
            <w:vAlign w:val="center"/>
          </w:tcPr>
          <w:p>
            <w:pPr>
              <w:pStyle w:val="TableContents"/>
              <w:bidi w:val="0"/>
              <w:spacing w:before="0" w:after="283"/>
              <w:jc w:val="both"/>
              <w:rPr/>
            </w:pPr>
            <w:r>
              <w:rPr/>
              <w:t>The Warrants, when (i) the Warrants have been specifically authorized for issuance by all requisite corporate actions, (ii) the applicable Operative Agreements relating to the Warrants have been duly authorized, executed and delivered by the Company, (iii) the Warrants have been duly executed by the Company and countersigned in accordance with the applicable Operative Agreements and requisite corporate actions and issued and delivered as contemplated by the Registration Statement, the Prospectus and the applicable prospectus supplement in accordance with the applicable underwriting or other purchase agreement against payment therefor, and (iv) the Company has received the consideration provided for in the requisite corporate actions and the applicable underwriting agreement or other purchase agreement, will be valid and legally binding obligations of the Company, enforceable against the Company in accordance with their terms</w:t>
            </w:r>
            <w:r>
              <w:rPr>
                <w:shd w:fill="FFFFFF" w:val="clea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2.</w:t>
            </w:r>
          </w:p>
        </w:tc>
        <w:tc>
          <w:tcPr>
            <w:tcW w:w="10045" w:type="dxa"/>
            <w:tcBorders/>
            <w:vAlign w:val="center"/>
          </w:tcPr>
          <w:p>
            <w:pPr>
              <w:pStyle w:val="TableContents"/>
              <w:bidi w:val="0"/>
              <w:spacing w:before="0" w:after="283"/>
              <w:jc w:val="both"/>
              <w:rPr/>
            </w:pPr>
            <w:r>
              <w:rPr/>
              <w:t>The Debt Securities, when (i) the Debt Securities have been specifically authorized for issuance by all requisite corporate actions, (ii) the applicable Indentures relating to the Debt Securities have been duly authorized, executed and delivered by the Company, (iii) the Debt Securities have been duly executed by the Company and countersigned in accordance with the applicable Indentures and requisite corporate actions and issued and delivered as contemplated by the Registration Statement, the Prospectus and the applicable prospectus supplement in accordance with the applicable underwriting or other purchase agreement against payment therefor, and (iv) the Company has received the consideration provided for in the requisite corporate actions and the applicable underwriting agreement or other purchase agreement, will be valid and legally binding obligations of the Company, enforceable against the Company in accordance with their terms.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sz w:val="20"/>
              </w:rPr>
            </w:pPr>
            <w:r>
              <w:rPr>
                <w:sz w:val="20"/>
              </w:rPr>
              <w:t>3.</w:t>
            </w:r>
          </w:p>
        </w:tc>
        <w:tc>
          <w:tcPr>
            <w:tcW w:w="10060" w:type="dxa"/>
            <w:tcBorders/>
            <w:vAlign w:val="center"/>
          </w:tcPr>
          <w:p>
            <w:pPr>
              <w:pStyle w:val="TableContents"/>
              <w:bidi w:val="0"/>
              <w:spacing w:before="0" w:after="283"/>
              <w:jc w:val="both"/>
              <w:rPr>
                <w:sz w:val="20"/>
              </w:rPr>
            </w:pPr>
            <w:r>
              <w:rPr>
                <w:sz w:val="20"/>
              </w:rPr>
              <w:t>The Rights, when (i) the Rights have been specifically authorized for issuance by all requisite corporate actions, (ii) the applicable Operative Agreements relating to the Rights have been duly authorized, executed and delivered by the Company, (iii) the Rights have been duly executed by the Company and countersigned in accordance with the applicable Operative Agreements and requisite corporate actions and issued and delivered as contemplated by the Registration Statement, the Prospectus and the applicable prospectus supplement in accordance with the applicable underwriting or other purchase agreement against payment therefor, and (iv) the Company has received the consideration provided for in the requisite corporate actions and the applicable underwriting agreement or other purchase agreement, will be valid and legally binding obligations of the Company, enforceable against the Company in accordance with their terms.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sz w:val="20"/>
              </w:rPr>
            </w:pPr>
            <w:r>
              <w:rPr>
                <w:sz w:val="20"/>
              </w:rPr>
              <w:t>4.</w:t>
            </w:r>
          </w:p>
        </w:tc>
        <w:tc>
          <w:tcPr>
            <w:tcW w:w="10060" w:type="dxa"/>
            <w:tcBorders/>
            <w:vAlign w:val="center"/>
          </w:tcPr>
          <w:p>
            <w:pPr>
              <w:pStyle w:val="TableContents"/>
              <w:bidi w:val="0"/>
              <w:spacing w:before="0" w:after="283"/>
              <w:jc w:val="both"/>
              <w:rPr>
                <w:sz w:val="20"/>
              </w:rPr>
            </w:pPr>
            <w:r>
              <w:rPr>
                <w:sz w:val="20"/>
              </w:rPr>
              <w:t>The Units, when (i) the Units have been specifically authorized for issuance by all requisite corporate actions, (ii) the applicable Operative Agreements relating to the Units have been duly authorized, executed and delivered by the Company, (iii) the Units have been duly executed by the Company and countersigned in accordance with the applicable Operative Agreements and requisite corporate actions and issued and delivered as contemplated by the Registration Statement, the Prospectus and the applicable prospectus supplement in accordance with the applicable underwriting or other purchase agreement against payment therefor, and (iv) the Company has received the consideration provided for in the requisite corporate actions and the applicable underwriting agreement or other purchase agreement, will be valid and legally binding obligations of the Company, enforceable against the Company in accordance with their terms.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sz w:val="20"/>
              </w:rPr>
            </w:pPr>
            <w:r>
              <w:rPr>
                <w:sz w:val="20"/>
              </w:rPr>
              <w:t>5.</w:t>
            </w:r>
          </w:p>
        </w:tc>
        <w:tc>
          <w:tcPr>
            <w:tcW w:w="10061" w:type="dxa"/>
            <w:tcBorders/>
            <w:vAlign w:val="center"/>
          </w:tcPr>
          <w:p>
            <w:pPr>
              <w:pStyle w:val="TableContents"/>
              <w:bidi w:val="0"/>
              <w:spacing w:before="0" w:after="283"/>
              <w:jc w:val="both"/>
              <w:rPr>
                <w:sz w:val="20"/>
              </w:rPr>
            </w:pPr>
            <w:r>
              <w:rPr>
                <w:sz w:val="20"/>
              </w:rPr>
              <w:t>The Share Purchase Contracts, when (i) the Share Purchase Contracts have been specifically authorized for issuance by all requisite corporate actions, (ii) the applicable Operative Agreements relating to the Share Purchase Contracts have been duly authorized, executed and delivered by the Company, (iii) the Share Purchase Contracts have been duly executed by the Company and countersigned in accordance with the applicable Operative Agreements and requisite corporate actions and issued and delivered as contemplated by the Registration Statement, the Prospectus and the applicable prospectus supplement in accordance with the applicable underwriting or other purchase agreement against payment therefor, and (iv) the Company has received the consideration provided for in the requisite corporate actions and the applicable underwriting agreement or other purchase agreement, will be valid and legally binding obligations of the Company, enforceable against the Company in accordance with their terms.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2419350"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2419350" cy="276225"/>
                    </a:xfrm>
                    <a:prstGeom prst="rect">
                      <a:avLst/>
                    </a:prstGeom>
                  </pic:spPr>
                </pic:pic>
              </a:graphicData>
            </a:graphic>
          </wp:inline>
        </w:drawing>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Anbio Biotechnology</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sz w:val="20"/>
              </w:rPr>
            </w:pPr>
            <w:r>
              <w:rPr>
                <w:sz w:val="20"/>
              </w:rPr>
              <w:t>6.</w:t>
            </w:r>
          </w:p>
        </w:tc>
        <w:tc>
          <w:tcPr>
            <w:tcW w:w="10061" w:type="dxa"/>
            <w:tcBorders/>
            <w:vAlign w:val="center"/>
          </w:tcPr>
          <w:p>
            <w:pPr>
              <w:pStyle w:val="TableContents"/>
              <w:bidi w:val="0"/>
              <w:spacing w:before="0" w:after="283"/>
              <w:jc w:val="both"/>
              <w:rPr>
                <w:sz w:val="20"/>
              </w:rPr>
            </w:pPr>
            <w:r>
              <w:rPr>
                <w:sz w:val="20"/>
              </w:rPr>
              <w:t>The Share Purchase Units, when (i) the Share Purchase Units have been specifically authorized for issuance by all requisite corporate actions, (ii) the applicable Operative Agreements relating to the Share Purchase Units have been duly authorized, executed and delivered by the Company, (iii) the Share Purchase Units have been duly executed by the Company and countersigned in accordance with the applicable Operative Agreements and requisite corporate actions and issued and delivered as contemplated by the Registration Statement, the Prospectus and the applicable prospectus supplement in accordance with the applicable underwriting or other purchase agreement against payment therefor, and (iv) the Company has received the consideration provided for in the requisite corporate actions and the applicable underwriting agreement or other purchase agreement, will be valid and legally binding obligations of the Company, enforceable against the Company in accordance with their terms.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opinion is subject, in each case, to applicable insolvency, bankruptcy, reorganization, moratorium, fraudulent transfer, fraudulent conveyance or other similar laws affecting generally the enforceability of creditors’ rights from time to time in effect and subject to general principles of equity, regardless of whether considered in a proceeding in equity or at law, including application of principles of good faith, fair dealing, commercial reasonableness, materiality, unconscionability and conflict with public policy and other similar principles.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application of the laws of the State of New York only, and we express no opinion with respect to the applicability of federal laws, the laws of other countries, the laws of any state of the United States or any other jurisdiction, or as to any matters of municipal law or the laws of any other local agencies within any state. No opinion is expressed as to any federal securities laws. Our opinion represents only our interpretation of the law and has no binding, legal effect on, without limitation, any court. It is possible that contrary positions may be asserted and that one or more courts may sustain such contrary positions. Our opinion is expressed as of the date hereof, and we are under no obligation to supplement or revise this opinion to reflect any changes, including changes which have retroactive effect (i) in applicable law, or (ii) in any fact, information, document, corporate record, covenant, statement, representation, or assumption stated herein that becomes untrue, incorrect or incomplete.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furnished to you for use in connection with the Registration Statement and is not to be used, circulated, quoted, or otherwise referred to for any other purpose without our express written permission. We hereby consent to the filing of this opinion as an exhibit to the Registration Statement and to the use of our name in the Registration Statement wherever it appears. In giving such consent, we do not thereby admit that we are in the category of persons whose consent is required under Section 7 of the Securities Act of 1933, as amended, or the rules and regulations of the SEC thereunder.</w:t>
      </w:r>
    </w:p>
    <w:p>
      <w:pPr>
        <w:pStyle w:val="TextBody"/>
        <w:bidi w:val="0"/>
        <w:ind w:left="5040" w:right="0" w:firstLine="720"/>
        <w:jc w:val="both"/>
        <w:rPr>
          <w:caps w:val="false"/>
          <w:smallCaps w:val="false"/>
        </w:rPr>
      </w:pPr>
      <w:r>
        <w:rPr>
          <w:caps w:val="false"/>
          <w:smallCaps w:val="false"/>
        </w:rPr>
        <w:t> </w:t>
      </w:r>
    </w:p>
    <w:tbl>
      <w:tblPr>
        <w:tblW w:w="2165" w:type="dxa"/>
        <w:jc w:val="left"/>
        <w:tblInd w:w="0" w:type="dxa"/>
        <w:tblLayout w:type="fixed"/>
        <w:tblCellMar>
          <w:top w:w="0" w:type="dxa"/>
          <w:left w:w="0" w:type="dxa"/>
          <w:bottom w:w="0" w:type="dxa"/>
          <w:right w:w="0" w:type="dxa"/>
        </w:tblCellMar>
      </w:tblPr>
      <w:tblGrid>
        <w:gridCol w:w="2090"/>
        <w:gridCol w:w="75"/>
      </w:tblGrid>
      <w:tr>
        <w:trPr/>
        <w:tc>
          <w:tcPr>
            <w:tcW w:w="2090" w:type="dxa"/>
            <w:tcBorders/>
            <w:vAlign w:val="center"/>
          </w:tcPr>
          <w:p>
            <w:pPr>
              <w:pStyle w:val="TableContents"/>
              <w:bidi w:val="0"/>
              <w:spacing w:before="0" w:after="283"/>
              <w:jc w:val="both"/>
              <w:rPr>
                <w:sz w:val="20"/>
              </w:rPr>
            </w:pPr>
            <w:r>
              <w:rPr>
                <w:sz w:val="20"/>
              </w:rPr>
              <w:t>Very truly yours,</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both"/>
              <w:rPr>
                <w:sz w:val="20"/>
              </w:rPr>
            </w:pPr>
            <w:r>
              <w:rPr>
                <w:sz w:val="20"/>
              </w:rPr>
              <w:t xml:space="preserve">/s/ </w:t>
            </w:r>
            <w:r>
              <w:rPr>
                <w:i/>
                <w:sz w:val="20"/>
              </w:rPr>
              <w:t>Ortoli Rosenstadt LLP</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20"/>
              </w:rPr>
            </w:pPr>
            <w:r>
              <w:rPr>
                <w:sz w:val="20"/>
              </w:rPr>
              <w:t>Ortoli Rosenstadt LLP</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anbioex23-1.htm"/>
      <w:bookmarkStart w:id="34" w:name="ksanbioex231"/>
      <w:bookmarkEnd w:id="33"/>
      <w:bookmarkEnd w:id="3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71525" cy="438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771525" cy="438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consent to the incorporation by reference in this Registration Statement on Form F-3 of Anbio Biotechnology of our report dated April 28, 2025, with respect to the consolidated balance sheets of </w:t>
      </w:r>
      <w:r>
        <w:rPr>
          <w:rFonts w:ascii="Times New Roman;Times;Serif" w:hAnsi="Times New Roman;Times;Serif"/>
          <w:b w:val="false"/>
          <w:i w:val="false"/>
          <w:caps w:val="false"/>
          <w:smallCaps w:val="false"/>
          <w:sz w:val="20"/>
          <w:shd w:fill="FFFFFF" w:val="clear"/>
        </w:rPr>
        <w:t>Anbio Biotechnology</w:t>
      </w:r>
      <w:r>
        <w:rPr>
          <w:rFonts w:ascii="Times New Roman;Times;Serif" w:hAnsi="Times New Roman;Times;Serif"/>
          <w:b w:val="false"/>
          <w:i w:val="false"/>
          <w:caps w:val="false"/>
          <w:smallCaps w:val="false"/>
          <w:sz w:val="20"/>
        </w:rPr>
        <w:t xml:space="preserve"> and its subsidiaries as of December 31, 2024 and 2023 and the related consolidated statements of operations, changes in shareholders’ equity, and cash flows for the two years ended December 31, 2024 and 2023 and the related notes, included in its Annual Report on Form 20-F. We also consent to the reference to our firm under the heading “Experts”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YCM CPA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PCAOB ID 6781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jc w:val="right"/>
        <w:rPr>
          <w:rFonts w:ascii="Times New Roman;Times;Serif" w:hAnsi="Times New Roman;Times;Serif"/>
          <w:b/>
          <w:i w:val="false"/>
          <w:caps w:val="false"/>
          <w:smallCaps w:val="false"/>
          <w:sz w:val="20"/>
        </w:rPr>
      </w:pPr>
      <w:bookmarkStart w:id="35" w:name="anbioex23-2.htm"/>
      <w:bookmarkStart w:id="36" w:name="ksanbioex232"/>
      <w:bookmarkEnd w:id="35"/>
      <w:bookmarkEnd w:id="36"/>
      <w:r>
        <w:rPr>
          <w:rFonts w:ascii="Times New Roman;Times;Serif" w:hAnsi="Times New Roman;Times;Serif"/>
          <w:b/>
          <w:i w:val="false"/>
          <w:caps w:val="false"/>
          <w:smallCaps w:val="false"/>
          <w:sz w:val="20"/>
        </w:rPr>
        <w:t>Exhibit 23.2</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F-3 of Anbio Biotechnology (the “Company”) of our report dated April 7, 2026, relating to the consolidated balance sheet of the Company as of December 31, 2025, and the related consolidated statements of operations, changes in shareholders’ equity, and cash flows for the year then ended, and the related notes, included in the Annual Report on Form 20-F of the Company for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of GGF CPA LTD, as an independent registered public accounting firm, as expert in matters of accounting and auditing under the heading “Experts” in such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GGF CPA LTD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GGF CPA LTD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PCAOB ID: </w:t>
      </w:r>
      <w:r>
        <w:rPr>
          <w:rFonts w:ascii="Times New Roman;Times;Serif" w:hAnsi="Times New Roman;Times;Serif"/>
          <w:b w:val="false"/>
          <w:i w:val="false"/>
          <w:caps w:val="false"/>
          <w:smallCaps w:val="false"/>
          <w:sz w:val="20"/>
        </w:rPr>
        <w:t>2729</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PRC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7" w:name="anbioex-fee.htm"/>
      <w:bookmarkStart w:id="38" w:name="ksanbioexfee"/>
      <w:bookmarkEnd w:id="37"/>
      <w:bookmarkEnd w:id="3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Anbio Biotechnology</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1"/>
        <w:gridCol w:w="60"/>
        <w:gridCol w:w="800"/>
        <w:gridCol w:w="60"/>
        <w:gridCol w:w="1405"/>
        <w:gridCol w:w="60"/>
        <w:gridCol w:w="575"/>
        <w:gridCol w:w="60"/>
        <w:gridCol w:w="1100"/>
        <w:gridCol w:w="60"/>
        <w:gridCol w:w="1025"/>
        <w:gridCol w:w="60"/>
        <w:gridCol w:w="697"/>
        <w:gridCol w:w="299"/>
        <w:gridCol w:w="60"/>
        <w:gridCol w:w="243"/>
        <w:gridCol w:w="769"/>
        <w:gridCol w:w="60"/>
        <w:gridCol w:w="1040"/>
        <w:gridCol w:w="60"/>
        <w:gridCol w:w="276"/>
        <w:gridCol w:w="905"/>
      </w:tblGrid>
      <w:tr>
        <w:trPr/>
        <w:tc>
          <w:tcPr>
            <w:tcW w:w="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531"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4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1"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7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0.00</w:t>
            </w:r>
          </w:p>
        </w:tc>
      </w:tr>
      <w:tr>
        <w:trPr/>
        <w:tc>
          <w:tcPr>
            <w:tcW w:w="531"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Class A Ordinary Shares, par value $0.000000001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0.00</w:t>
            </w:r>
          </w:p>
        </w:tc>
      </w:tr>
      <w:tr>
        <w:trPr/>
        <w:tc>
          <w:tcPr>
            <w:tcW w:w="531"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0.00</w:t>
            </w:r>
          </w:p>
        </w:tc>
      </w:tr>
      <w:tr>
        <w:trPr/>
        <w:tc>
          <w:tcPr>
            <w:tcW w:w="531"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Share Purchase Contracts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0.00</w:t>
            </w:r>
          </w:p>
        </w:tc>
      </w:tr>
      <w:tr>
        <w:trPr/>
        <w:tc>
          <w:tcPr>
            <w:tcW w:w="531"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Share Purchase 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0.00</w:t>
            </w:r>
          </w:p>
        </w:tc>
      </w:tr>
      <w:tr>
        <w:trPr/>
        <w:tc>
          <w:tcPr>
            <w:tcW w:w="531"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0.00</w:t>
            </w:r>
          </w:p>
        </w:tc>
      </w:tr>
      <w:tr>
        <w:trPr/>
        <w:tc>
          <w:tcPr>
            <w:tcW w:w="531"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7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0.00</w:t>
            </w:r>
          </w:p>
        </w:tc>
      </w:tr>
      <w:tr>
        <w:trPr/>
        <w:tc>
          <w:tcPr>
            <w:tcW w:w="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792"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769"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0.00</w:t>
            </w:r>
          </w:p>
        </w:tc>
      </w:tr>
      <w:tr>
        <w:trPr/>
        <w:tc>
          <w:tcPr>
            <w:tcW w:w="6792"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r>
      <w:tr>
        <w:trPr/>
        <w:tc>
          <w:tcPr>
            <w:tcW w:w="6792"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792"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bottom w:val="double" w:sz="8" w:space="0" w:color="000000"/>
            </w:tcBorders>
            <w:tcMar>
              <w:bottom w:w="28" w:type="dxa"/>
            </w:tcMar>
            <w:vAlign w:val="center"/>
          </w:tcPr>
          <w:p>
            <w:pPr>
              <w:pStyle w:val="TableContents"/>
              <w:bidi w:val="0"/>
              <w:spacing w:before="0" w:after="283"/>
              <w:jc w:val="left"/>
              <w:rPr/>
            </w:pPr>
            <w:r>
              <w:rPr/>
              <w:t>$</w:t>
            </w:r>
          </w:p>
        </w:tc>
        <w:tc>
          <w:tcPr>
            <w:tcW w:w="905" w:type="dxa"/>
            <w:tcBorders>
              <w:bottom w:val="double" w:sz="8" w:space="0" w:color="000000"/>
            </w:tcBorders>
            <w:tcMar>
              <w:bottom w:w="28" w:type="dxa"/>
            </w:tcMar>
            <w:vAlign w:val="center"/>
          </w:tcPr>
          <w:p>
            <w:pPr>
              <w:pStyle w:val="TableContents"/>
              <w:bidi w:val="0"/>
              <w:spacing w:before="0" w:after="283"/>
              <w:jc w:val="right"/>
              <w:rPr/>
            </w:pPr>
            <w:r>
              <w:rPr/>
              <w:t>0.00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An indeterminate number or amount, as the case may be, of Class A ordinary shares, debt securities, warrants, rights, units, share purchase contracts, and share purchase units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 Any registration fees will be paid subsequently on a pay-as-you-go basis in accordance with Rule 457(r).</w:t>
              <w:br/>
              <w:br/>
              <w:t>Pursuant to Rules 456(b) and 457(r), the Registrant is deferring payment of all applicable registration fees.</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An indeterminate number or amount, as the case may be, of Class A ordinary shares, debt securities, warrants, rights, units, share purchase contracts, and share purchase units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 Any registration fees will be paid subsequently on a pay-as-you-go basis in accordance with Rule 457(r).</w:t>
              <w:br/>
              <w:br/>
              <w:t>Pursuant to Rules 456(b) and 457(r), the Registrant is deferring payment of all applicable registration fees.</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An indeterminate number or amount, as the case may be, of Class A ordinary shares, debt securities, warrants, rights, units, share purchase contracts, and share purchase units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 Any registration fees will be paid subsequently on a pay-as-you-go basis in accordance with Rule 457(r).</w:t>
              <w:br/>
              <w:br/>
              <w:t>Pursuant to Rules 456(b) and 457(r), the Registrant is deferring payment of all applicable registration fees.</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An indeterminate number or amount, as the case may be, of Class A ordinary shares, debt securities, warrants, rights, units, share purchase contracts, and share purchase units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 Any registration fees will be paid subsequently on a pay-as-you-go basis in accordance with Rule 457(r).</w:t>
              <w:br/>
              <w:br/>
              <w:t>Pursuant to Rules 456(b) and 457(r), the Registrant is deferring payment of all applicable registration fees.</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An indeterminate number or amount, as the case may be, of Class A ordinary shares, debt securities, warrants, rights, units, share purchase contracts, and share purchase units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 Any registration fees will be paid subsequently on a pay-as-you-go basis in accordance with Rule 457(r).</w:t>
              <w:br/>
              <w:br/>
              <w:t>Pursuant to Rules 456(b) and 457(r), the Registrant is deferring payment of all applicable registration fees.</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An indeterminate number or amount, as the case may be, of Class A ordinary shares, debt securities, warrants, rights, units, share purchase contracts, and share purchase units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 Any registration fees will be paid subsequently on a pay-as-you-go basis in accordance with Rule 457(r).</w:t>
              <w:br/>
              <w:br/>
              <w:t>Pursuant to Rules 456(b) and 457(r), the Registrant is deferring payment of all applicable registration fees.</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An indeterminate number or amount, as the case may be, of Class A ordinary shares, debt securities, warrants, rights, units, share purchase contracts, and share purchase units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 Any registration fees will be paid subsequently on a pay-as-you-go basis in accordance with Rule 457(r).</w:t>
              <w:br/>
              <w:br/>
              <w:t>Pursuant to Rules 456(b) and 457(r), the Registrant is deferring payment of all applicable registration fees.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982708/000118518526001294/anbio20f123125.htm" TargetMode="External"/><Relationship Id="rId4" Type="http://schemas.openxmlformats.org/officeDocument/2006/relationships/hyperlink" Target="http://www.sec.gov/Archives/edgar/data/1982708/000118518526001313/anbio20fa1123125.htm" TargetMode="External"/><Relationship Id="rId5" Type="http://schemas.openxmlformats.org/officeDocument/2006/relationships/hyperlink" Target="http://www.sec.gov/Archives/edgar/data/1982708/000118518526001504/anbio6k042226.htm" TargetMode="External"/><Relationship Id="rId6" Type="http://schemas.openxmlformats.org/officeDocument/2006/relationships/hyperlink" Target="http://www.sec.gov/Archives/edgar/data/1982708/000118518526001897/anbio6k051826.htm" TargetMode="External"/><Relationship Id="rId7" Type="http://schemas.openxmlformats.org/officeDocument/2006/relationships/hyperlink" Target="http://www.sec.gov/Archives/edgar/data/1982708/000121390025013885/ea0231177-8a12b_anbio.htm" TargetMode="External"/><Relationship Id="rId8" Type="http://schemas.openxmlformats.org/officeDocument/2006/relationships/hyperlink" Target="http://www.sec.gov/Archives/edgar/data/1982708/000118518526001897/anbioex3-1.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102887</Words>
  <Characters>527414</Characters>
  <CharactersWithSpaces>630160</CharactersWithSpaces>
  <Paragraphs>6941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